
<file path=[Content_Types].xml><?xml version="1.0" encoding="utf-8"?>
<Types xmlns="http://schemas.openxmlformats.org/package/2006/content-types">
  <Default Extension="xml" ContentType="application/xml"/>
  <Default Extension="xlsx" ContentType="application/vnd.openxmlformats-officedocument.spreadsheetml.sheet"/>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0" w:lineRule="auto"/>
        <w:jc w:val="center"/>
        <w:rPr>
          <w:rFonts w:hint="default" w:ascii="Cambria" w:hAnsi="Cambria" w:cs="Cambria"/>
          <w:b/>
          <w:bCs/>
          <w:sz w:val="24"/>
          <w:szCs w:val="24"/>
        </w:rPr>
      </w:pPr>
      <w:r>
        <w:rPr>
          <w:rFonts w:hint="default" w:ascii="Cambria" w:hAnsi="Cambria" w:cs="Cambria"/>
          <w:b/>
          <w:bCs/>
          <w:sz w:val="24"/>
          <w:szCs w:val="24"/>
        </w:rPr>
        <w:t xml:space="preserve">BAB I </w:t>
      </w:r>
    </w:p>
    <w:p>
      <w:pPr>
        <w:spacing w:line="240" w:lineRule="auto"/>
        <w:jc w:val="center"/>
        <w:rPr>
          <w:rFonts w:hint="default" w:ascii="Cambria" w:hAnsi="Cambria" w:cs="Cambria"/>
          <w:b/>
          <w:bCs/>
          <w:sz w:val="24"/>
          <w:szCs w:val="24"/>
        </w:rPr>
      </w:pPr>
      <w:r>
        <w:rPr>
          <w:rFonts w:hint="default" w:ascii="Cambria" w:hAnsi="Cambria" w:cs="Cambria"/>
          <w:b/>
          <w:bCs/>
          <w:sz w:val="24"/>
          <w:szCs w:val="24"/>
        </w:rPr>
        <w:t>PENDAHULUAN</w:t>
      </w:r>
    </w:p>
    <w:p>
      <w:pPr>
        <w:pStyle w:val="13"/>
        <w:numPr>
          <w:ilvl w:val="0"/>
          <w:numId w:val="1"/>
        </w:numPr>
        <w:shd w:val="clear" w:color="auto" w:fill="FFFFFF" w:themeFill="background1"/>
        <w:spacing w:line="360" w:lineRule="auto"/>
        <w:ind w:left="426" w:hanging="426"/>
        <w:jc w:val="both"/>
        <w:rPr>
          <w:rFonts w:hint="default" w:ascii="Cambria" w:hAnsi="Cambria" w:cs="Cambria"/>
          <w:b/>
          <w:sz w:val="24"/>
          <w:szCs w:val="24"/>
        </w:rPr>
      </w:pPr>
      <w:r>
        <w:rPr>
          <w:rFonts w:hint="default" w:ascii="Cambria" w:hAnsi="Cambria" w:cs="Cambria"/>
          <w:b/>
          <w:sz w:val="24"/>
          <w:szCs w:val="24"/>
        </w:rPr>
        <w:t>LATAR BELAKANG</w:t>
      </w:r>
    </w:p>
    <w:p>
      <w:pPr>
        <w:pStyle w:val="13"/>
        <w:shd w:val="clear" w:color="auto" w:fill="FFFFFF" w:themeFill="background1"/>
        <w:spacing w:line="360" w:lineRule="auto"/>
        <w:ind w:left="426" w:firstLine="992"/>
        <w:jc w:val="both"/>
        <w:rPr>
          <w:rFonts w:hint="default" w:ascii="Cambria" w:hAnsi="Cambria" w:cs="Cambria"/>
          <w:sz w:val="24"/>
          <w:szCs w:val="24"/>
        </w:rPr>
      </w:pPr>
      <w:r>
        <w:rPr>
          <w:rFonts w:hint="default" w:ascii="Cambria" w:hAnsi="Cambria" w:cs="Cambria"/>
          <w:sz w:val="24"/>
          <w:szCs w:val="24"/>
        </w:rPr>
        <w:t>Penyelenggaraan Otonomi Daerah pada tataran Pemerintahan Daerah dalam konteks Negara Kesatuan Republik Indonesia merupakan wujud nyata keseriusan Pemerintah  untuk meningkatkan efektifitas dan efesiensi penyelenggaraan Pemerintahan Daerah melalui upaya memandirikan Pemerintahan Daerah dalam mengurus rumah tangganya sendiri sesuai dengan Undang Undang Republik Indonesia Undang-Undang Nomor 9 Tahun 2015 tentang Pemerintahan Daerah. Untuk itu, pelaksanaan otonomi daerah perlu mendapatkan dorongan yang lebih besar dari berbagai elemen masyarakat, termasuk dalam pengembangan akuntabilitas melalui penyusunan dan pelaporan kinerja pemerintah daerah.</w:t>
      </w:r>
    </w:p>
    <w:p>
      <w:pPr>
        <w:pStyle w:val="13"/>
        <w:shd w:val="clear" w:color="auto" w:fill="FFFFFF" w:themeFill="background1"/>
        <w:spacing w:line="360" w:lineRule="auto"/>
        <w:ind w:left="426" w:firstLine="992"/>
        <w:jc w:val="both"/>
        <w:rPr>
          <w:rFonts w:hint="default" w:ascii="Cambria" w:hAnsi="Cambria" w:cs="Cambria"/>
          <w:sz w:val="24"/>
          <w:szCs w:val="24"/>
        </w:rPr>
      </w:pPr>
      <w:r>
        <w:rPr>
          <w:rFonts w:hint="default" w:ascii="Cambria" w:hAnsi="Cambria" w:cs="Cambria"/>
          <w:sz w:val="24"/>
          <w:szCs w:val="24"/>
          <w:shd w:val="clear" w:color="auto" w:fill="FFFFFF"/>
        </w:rPr>
        <w:t>Penyajian Laporan Akuntabilitas Kinerja Instansi Pemerintah (LAKIP) Dinas Perindustrian, Perdagangan, Koperasi, Usaha Kecil dan Menengah Kabupaten Kepulauan Selayar Tahun 2022 ini didasarkan pada Peraturan Menteri Pendayagunaan Aparatur Negara dan Reformasi Birokrasi Republik Indonesia Nomor 53 Tahun 2014 tentang Petunjuk Teknis Perjanjian Kinerja Pelaporan Kinerja dan Tata Cara Reviu atas Laporan Kinerja Instansi Pemerintah, yang didalamnya memuat pernyataan visi, misi, tujuan, sasaran, kebijakan serta program kegiatan. Selanjutnya dilakukan analisis akuntabilitas kinerja yang menggambarkan pencapaian kinerja indikator sasaran dan tujuan dalam mendukung tercapainya Visi dan Misi Pemerintah Kabupaten Kepulauan Selayar</w:t>
      </w:r>
      <w:r>
        <w:rPr>
          <w:rFonts w:hint="default" w:ascii="Cambria" w:hAnsi="Cambria" w:cs="Cambria"/>
          <w:sz w:val="24"/>
          <w:szCs w:val="24"/>
        </w:rPr>
        <w:t xml:space="preserve">, sebagai pertanggungjawaban atas pelaksanaan pencapaian kinerja sebagaimana disepakati dalam dokumen Perjanjian Kinerja Tahun 2022, serta mengacu pada Rencana Kerja Dinas </w:t>
      </w:r>
      <w:r>
        <w:rPr>
          <w:rFonts w:hint="default" w:ascii="Cambria" w:hAnsi="Cambria" w:cs="Cambria"/>
          <w:sz w:val="24"/>
          <w:szCs w:val="24"/>
          <w:shd w:val="clear" w:color="auto" w:fill="FFFFFF"/>
        </w:rPr>
        <w:t>Perindustrian, Perdagangan, Koperasi, Usaha Kecil dan Menengah</w:t>
      </w:r>
      <w:r>
        <w:rPr>
          <w:rFonts w:hint="default" w:ascii="Cambria" w:hAnsi="Cambria" w:cs="Cambria"/>
          <w:sz w:val="24"/>
          <w:szCs w:val="24"/>
        </w:rPr>
        <w:t xml:space="preserve"> Kabupaten Kepulauan Selayar Tahun 2022 dan Rencana Pembangunan Jangka Menengah Daerah Tahun 2021-2026.</w:t>
      </w:r>
    </w:p>
    <w:p>
      <w:pPr>
        <w:pStyle w:val="13"/>
        <w:numPr>
          <w:ilvl w:val="0"/>
          <w:numId w:val="1"/>
        </w:numPr>
        <w:shd w:val="clear" w:color="auto" w:fill="FFFFFF" w:themeFill="background1"/>
        <w:spacing w:line="360" w:lineRule="auto"/>
        <w:ind w:left="426" w:hanging="426"/>
        <w:jc w:val="both"/>
        <w:rPr>
          <w:rFonts w:hint="default" w:ascii="Cambria" w:hAnsi="Cambria" w:cs="Cambria"/>
          <w:b/>
          <w:sz w:val="24"/>
          <w:szCs w:val="24"/>
        </w:rPr>
      </w:pPr>
      <w:r>
        <w:rPr>
          <w:rFonts w:hint="default" w:ascii="Cambria" w:hAnsi="Cambria" w:cs="Cambria"/>
          <w:b/>
          <w:sz w:val="24"/>
          <w:szCs w:val="24"/>
        </w:rPr>
        <w:t>MAKSUD DAN TUJUAN</w:t>
      </w:r>
    </w:p>
    <w:p>
      <w:pPr>
        <w:pStyle w:val="13"/>
        <w:shd w:val="clear" w:color="auto" w:fill="FFFFFF" w:themeFill="background1"/>
        <w:spacing w:line="360" w:lineRule="auto"/>
        <w:ind w:left="426" w:firstLine="1014"/>
        <w:jc w:val="both"/>
        <w:rPr>
          <w:rFonts w:hint="default" w:ascii="Cambria" w:hAnsi="Cambria" w:cs="Cambria"/>
          <w:sz w:val="24"/>
          <w:szCs w:val="24"/>
        </w:rPr>
      </w:pPr>
      <w:r>
        <w:rPr>
          <w:rFonts w:hint="default" w:ascii="Cambria" w:hAnsi="Cambria" w:cs="Cambria"/>
          <w:sz w:val="24"/>
          <w:szCs w:val="24"/>
        </w:rPr>
        <w:t xml:space="preserve">Penyusunan Laporan Akuntabilitas Kinerja Instansi Dinas </w:t>
      </w:r>
      <w:r>
        <w:rPr>
          <w:rFonts w:hint="default" w:ascii="Cambria" w:hAnsi="Cambria" w:cs="Cambria"/>
          <w:sz w:val="24"/>
          <w:szCs w:val="24"/>
          <w:shd w:val="clear" w:color="auto" w:fill="FFFFFF"/>
        </w:rPr>
        <w:t>Perindustrian, Perdagangan, Koperasi, Usaha Kecil dan Menengah</w:t>
      </w:r>
      <w:r>
        <w:rPr>
          <w:rFonts w:hint="default" w:ascii="Cambria" w:hAnsi="Cambria" w:cs="Cambria"/>
          <w:sz w:val="24"/>
          <w:szCs w:val="24"/>
        </w:rPr>
        <w:t xml:space="preserve"> ini dimaksudkan sebagai wujud pertanggungjawaban pelaksanaan program dan kegiatan Dinas </w:t>
      </w:r>
      <w:r>
        <w:rPr>
          <w:rFonts w:hint="default" w:ascii="Cambria" w:hAnsi="Cambria" w:cs="Cambria"/>
          <w:sz w:val="24"/>
          <w:szCs w:val="24"/>
          <w:shd w:val="clear" w:color="auto" w:fill="FFFFFF"/>
        </w:rPr>
        <w:t>Perindustrian, Perdagangan, Koperasi, Usaha Kecil dan Menengah</w:t>
      </w:r>
      <w:r>
        <w:rPr>
          <w:rFonts w:hint="default" w:ascii="Cambria" w:hAnsi="Cambria" w:cs="Cambria"/>
          <w:sz w:val="24"/>
          <w:szCs w:val="24"/>
        </w:rPr>
        <w:t xml:space="preserve"> Kabupaten Kepulauan Selayar Tahun Anggaran 2022.  </w:t>
      </w:r>
    </w:p>
    <w:p>
      <w:pPr>
        <w:pStyle w:val="13"/>
        <w:shd w:val="clear" w:color="auto" w:fill="FFFFFF" w:themeFill="background1"/>
        <w:spacing w:line="360" w:lineRule="auto"/>
        <w:ind w:left="426" w:firstLine="1014"/>
        <w:jc w:val="both"/>
        <w:rPr>
          <w:rFonts w:hint="default" w:ascii="Cambria" w:hAnsi="Cambria" w:cs="Cambria"/>
          <w:sz w:val="24"/>
          <w:szCs w:val="24"/>
        </w:rPr>
      </w:pPr>
      <w:r>
        <w:rPr>
          <w:rFonts w:hint="default" w:ascii="Cambria" w:hAnsi="Cambria" w:cs="Cambria"/>
          <w:sz w:val="24"/>
          <w:szCs w:val="24"/>
        </w:rPr>
        <w:t xml:space="preserve">Adapun tujuannya adalah : </w:t>
      </w:r>
    </w:p>
    <w:p>
      <w:pPr>
        <w:pStyle w:val="13"/>
        <w:numPr>
          <w:ilvl w:val="0"/>
          <w:numId w:val="2"/>
        </w:numPr>
        <w:shd w:val="clear" w:color="auto" w:fill="FFFFFF" w:themeFill="background1"/>
        <w:spacing w:line="360" w:lineRule="auto"/>
        <w:jc w:val="both"/>
        <w:rPr>
          <w:rFonts w:hint="default" w:ascii="Cambria" w:hAnsi="Cambria" w:cs="Cambria"/>
          <w:sz w:val="24"/>
          <w:szCs w:val="24"/>
        </w:rPr>
      </w:pPr>
      <w:r>
        <w:rPr>
          <w:rFonts w:hint="default" w:ascii="Cambria" w:hAnsi="Cambria" w:cs="Cambria"/>
          <w:sz w:val="24"/>
          <w:szCs w:val="24"/>
        </w:rPr>
        <w:t xml:space="preserve">Memberikan informasi mengenai perencanaan, pengukuran, pelaporan dan evaluasi kinerja Dinas </w:t>
      </w:r>
      <w:r>
        <w:rPr>
          <w:rFonts w:hint="default" w:ascii="Cambria" w:hAnsi="Cambria" w:cs="Cambria"/>
          <w:sz w:val="24"/>
          <w:szCs w:val="24"/>
          <w:shd w:val="clear" w:color="auto" w:fill="FFFFFF"/>
        </w:rPr>
        <w:t>Perindustrian, Perdagangan, Koperasi, Usaha Kecil dan Menengah</w:t>
      </w:r>
      <w:r>
        <w:rPr>
          <w:rFonts w:hint="default" w:ascii="Cambria" w:hAnsi="Cambria" w:cs="Cambria"/>
          <w:sz w:val="24"/>
          <w:szCs w:val="24"/>
        </w:rPr>
        <w:t xml:space="preserve"> Kabupaten Kepulauan Selayar selama Tahun Anggaran 2022; </w:t>
      </w:r>
    </w:p>
    <w:p>
      <w:pPr>
        <w:pStyle w:val="13"/>
        <w:numPr>
          <w:ilvl w:val="0"/>
          <w:numId w:val="2"/>
        </w:numPr>
        <w:tabs>
          <w:tab w:val="left" w:pos="426"/>
          <w:tab w:val="left" w:pos="851"/>
          <w:tab w:val="left" w:pos="1418"/>
        </w:tabs>
        <w:spacing w:after="0" w:line="360" w:lineRule="auto"/>
        <w:jc w:val="both"/>
        <w:rPr>
          <w:rFonts w:hint="default" w:ascii="Cambria" w:hAnsi="Cambria" w:cs="Cambria"/>
          <w:sz w:val="24"/>
          <w:szCs w:val="24"/>
        </w:rPr>
      </w:pPr>
      <w:r>
        <w:rPr>
          <w:rFonts w:hint="default" w:ascii="Cambria" w:hAnsi="Cambria" w:cs="Cambria"/>
          <w:sz w:val="24"/>
          <w:szCs w:val="24"/>
        </w:rPr>
        <w:t xml:space="preserve">Sebagai bahan evaluasi terhadap kinerja Dinas </w:t>
      </w:r>
      <w:r>
        <w:rPr>
          <w:rFonts w:hint="default" w:ascii="Cambria" w:hAnsi="Cambria" w:cs="Cambria"/>
          <w:sz w:val="24"/>
          <w:szCs w:val="24"/>
          <w:shd w:val="clear" w:color="auto" w:fill="FFFFFF"/>
        </w:rPr>
        <w:t>Perindustrian, Perdagangan, Koperasi, Usaha Kecil dan Menengah</w:t>
      </w:r>
      <w:r>
        <w:rPr>
          <w:rFonts w:hint="default" w:ascii="Cambria" w:hAnsi="Cambria" w:cs="Cambria"/>
          <w:sz w:val="24"/>
          <w:szCs w:val="24"/>
        </w:rPr>
        <w:t xml:space="preserve"> Kabupaten Kepulauan Selayar pada Tahun 2022, untuk kemudian diharapkan dapat diperoleh masukan dalam rangka memperbaiki kinerja Dinas </w:t>
      </w:r>
      <w:r>
        <w:rPr>
          <w:rFonts w:hint="default" w:ascii="Cambria" w:hAnsi="Cambria" w:cs="Cambria"/>
          <w:sz w:val="24"/>
          <w:szCs w:val="24"/>
          <w:shd w:val="clear" w:color="auto" w:fill="FFFFFF"/>
        </w:rPr>
        <w:t>Perindustrian, Perdagangan, Koperasi, Usaha Kecil dan Menengah</w:t>
      </w:r>
      <w:r>
        <w:rPr>
          <w:rFonts w:hint="default" w:ascii="Cambria" w:hAnsi="Cambria" w:cs="Cambria"/>
          <w:sz w:val="24"/>
          <w:szCs w:val="24"/>
        </w:rPr>
        <w:t xml:space="preserve"> Kabupaten Kepulauan Selayar di masa yang akan datang; </w:t>
      </w:r>
    </w:p>
    <w:p>
      <w:pPr>
        <w:pStyle w:val="13"/>
        <w:numPr>
          <w:ilvl w:val="0"/>
          <w:numId w:val="2"/>
        </w:numPr>
        <w:tabs>
          <w:tab w:val="left" w:pos="426"/>
          <w:tab w:val="left" w:pos="851"/>
          <w:tab w:val="left" w:pos="1418"/>
        </w:tabs>
        <w:spacing w:after="0" w:line="360" w:lineRule="auto"/>
        <w:jc w:val="both"/>
        <w:rPr>
          <w:rFonts w:hint="default" w:ascii="Cambria" w:hAnsi="Cambria" w:cs="Cambria"/>
          <w:sz w:val="24"/>
          <w:szCs w:val="24"/>
        </w:rPr>
      </w:pPr>
      <w:r>
        <w:rPr>
          <w:rFonts w:hint="default" w:ascii="Cambria" w:hAnsi="Cambria" w:cs="Cambria"/>
          <w:sz w:val="24"/>
          <w:szCs w:val="24"/>
        </w:rPr>
        <w:t xml:space="preserve">Untuk mendorong penerapan SAKIP di jajaran Dinas </w:t>
      </w:r>
      <w:r>
        <w:rPr>
          <w:rFonts w:hint="default" w:ascii="Cambria" w:hAnsi="Cambria" w:cs="Cambria"/>
          <w:sz w:val="24"/>
          <w:szCs w:val="24"/>
          <w:shd w:val="clear" w:color="auto" w:fill="FFFFFF"/>
        </w:rPr>
        <w:t>Perindustrian, Perdagangan, Koperasi, Usaha Kecil dan Menengah</w:t>
      </w:r>
      <w:r>
        <w:rPr>
          <w:rFonts w:hint="default" w:ascii="Cambria" w:hAnsi="Cambria" w:cs="Cambria"/>
          <w:sz w:val="24"/>
          <w:szCs w:val="24"/>
        </w:rPr>
        <w:t xml:space="preserve"> Kabupaten Kepulauan Selayar sehingga terciptanya Akuntabilitas Kinerja Instansi Pemerintah sebagai salah satu prasyarat terciptanya pemerintahan yang baik dan terpercaya.</w:t>
      </w:r>
    </w:p>
    <w:p>
      <w:pPr>
        <w:tabs>
          <w:tab w:val="left" w:pos="426"/>
          <w:tab w:val="left" w:pos="851"/>
          <w:tab w:val="left" w:pos="1418"/>
        </w:tabs>
        <w:spacing w:after="0" w:line="360" w:lineRule="auto"/>
        <w:ind w:left="426"/>
        <w:jc w:val="both"/>
        <w:rPr>
          <w:rFonts w:hint="default" w:ascii="Cambria" w:hAnsi="Cambria" w:cs="Cambria"/>
          <w:sz w:val="24"/>
          <w:szCs w:val="24"/>
        </w:rPr>
      </w:pPr>
    </w:p>
    <w:p>
      <w:pPr>
        <w:pStyle w:val="13"/>
        <w:numPr>
          <w:ilvl w:val="0"/>
          <w:numId w:val="1"/>
        </w:numPr>
        <w:shd w:val="clear" w:color="auto" w:fill="FFFFFF" w:themeFill="background1"/>
        <w:spacing w:line="360" w:lineRule="auto"/>
        <w:ind w:left="426" w:hanging="426"/>
        <w:jc w:val="both"/>
        <w:rPr>
          <w:rFonts w:hint="default" w:ascii="Cambria" w:hAnsi="Cambria" w:cs="Cambria"/>
          <w:sz w:val="24"/>
          <w:szCs w:val="24"/>
        </w:rPr>
      </w:pPr>
      <w:r>
        <w:rPr>
          <w:rFonts w:hint="default" w:ascii="Cambria" w:hAnsi="Cambria" w:cs="Cambria"/>
          <w:b/>
          <w:sz w:val="24"/>
          <w:szCs w:val="24"/>
          <w:lang w:val="fi-FI"/>
        </w:rPr>
        <w:t>GAMBARAN UMUM ORGANISASI PERANGKAT DAERAH</w:t>
      </w:r>
    </w:p>
    <w:p>
      <w:pPr>
        <w:pStyle w:val="13"/>
        <w:numPr>
          <w:ilvl w:val="0"/>
          <w:numId w:val="3"/>
        </w:numPr>
        <w:shd w:val="clear" w:color="auto" w:fill="FFFFFF" w:themeFill="background1"/>
        <w:spacing w:line="360" w:lineRule="auto"/>
        <w:ind w:left="709" w:hanging="283"/>
        <w:jc w:val="both"/>
        <w:rPr>
          <w:rFonts w:hint="default" w:ascii="Cambria" w:hAnsi="Cambria" w:cs="Cambria"/>
          <w:b/>
          <w:sz w:val="24"/>
          <w:szCs w:val="24"/>
        </w:rPr>
      </w:pPr>
      <w:r>
        <w:rPr>
          <w:rFonts w:hint="default" w:ascii="Cambria" w:hAnsi="Cambria" w:cs="Cambria"/>
          <w:b/>
          <w:sz w:val="24"/>
          <w:szCs w:val="24"/>
        </w:rPr>
        <w:t>Kedudukan</w:t>
      </w:r>
    </w:p>
    <w:p>
      <w:pPr>
        <w:pStyle w:val="13"/>
        <w:shd w:val="clear" w:color="auto" w:fill="FFFFFF" w:themeFill="background1"/>
        <w:spacing w:line="360" w:lineRule="auto"/>
        <w:ind w:left="709" w:firstLine="709"/>
        <w:jc w:val="both"/>
        <w:rPr>
          <w:rFonts w:hint="default" w:ascii="Cambria" w:hAnsi="Cambria" w:cs="Cambria"/>
          <w:sz w:val="24"/>
          <w:szCs w:val="24"/>
        </w:rPr>
      </w:pPr>
      <w:r>
        <w:rPr>
          <w:rFonts w:hint="default" w:ascii="Cambria" w:hAnsi="Cambria" w:cs="Cambria"/>
          <w:sz w:val="24"/>
          <w:szCs w:val="24"/>
        </w:rPr>
        <w:t>Berdasarkan Undang-undang Nomor 9 Tahun 2015 tentang Pemerintahan Daerah terjadi perubahan, salah satu perubahan dari Undang-Undang tersebut adalah tentang pembagian urusan pemerintahan antara Pemerintah Pusat, Pemerintahan Daerah Propinsi, dan Pemerintahan Daerah Kabupaten/Kota serta perubahan nomenklatur.</w:t>
      </w:r>
    </w:p>
    <w:p>
      <w:pPr>
        <w:pStyle w:val="13"/>
        <w:shd w:val="clear" w:color="auto" w:fill="FFFFFF" w:themeFill="background1"/>
        <w:spacing w:line="360" w:lineRule="auto"/>
        <w:ind w:left="709" w:firstLine="709"/>
        <w:jc w:val="both"/>
        <w:rPr>
          <w:rFonts w:hint="default" w:ascii="Cambria" w:hAnsi="Cambria" w:cs="Cambria"/>
          <w:sz w:val="24"/>
          <w:szCs w:val="24"/>
        </w:rPr>
      </w:pPr>
      <w:r>
        <w:rPr>
          <w:rFonts w:hint="default" w:ascii="Cambria" w:hAnsi="Cambria" w:cs="Cambria"/>
          <w:sz w:val="24"/>
          <w:szCs w:val="24"/>
        </w:rPr>
        <w:t xml:space="preserve">Pembagian urusan pemerintahan pusat dan daerah sebagaimana  yang tercantum pada lampiran Undang-undang 9 Tahun 2015 tersebut, sehingga diterbitkanlah Peraturan Daerah Kabupaten Kepulauan Selayar Nomor 4 Tahun 2020 tentang Pembentukan dan Susunan Perangkat Daerah Kabupaten Kepulauan Selayar dan Peraturan Bupati Kepulauan Selayar Nomor 74 Tahun 2020 tentang Kedudukan, Susunan Organisasi, Tugas dan Fungsi sera Tata Kerja Dinas </w:t>
      </w:r>
      <w:r>
        <w:rPr>
          <w:rFonts w:hint="default" w:ascii="Cambria" w:hAnsi="Cambria" w:cs="Cambria"/>
          <w:sz w:val="24"/>
          <w:szCs w:val="24"/>
          <w:shd w:val="clear" w:color="auto" w:fill="FFFFFF"/>
        </w:rPr>
        <w:t>Perindustrian, Perdagangan, Koperasi, Usaha Kecil dan Menengah Kabupaten Kepulauan Selayar</w:t>
      </w:r>
      <w:r>
        <w:rPr>
          <w:rFonts w:hint="default" w:ascii="Cambria" w:hAnsi="Cambria" w:cs="Cambria"/>
          <w:sz w:val="24"/>
          <w:szCs w:val="24"/>
        </w:rPr>
        <w:t>.</w:t>
      </w:r>
    </w:p>
    <w:p>
      <w:pPr>
        <w:pStyle w:val="13"/>
        <w:shd w:val="clear" w:color="auto" w:fill="FFFFFF" w:themeFill="background1"/>
        <w:spacing w:line="360" w:lineRule="auto"/>
        <w:ind w:left="709" w:firstLine="709"/>
        <w:jc w:val="both"/>
        <w:rPr>
          <w:rFonts w:hint="default" w:ascii="Cambria" w:hAnsi="Cambria" w:cs="Cambria"/>
          <w:sz w:val="24"/>
          <w:szCs w:val="24"/>
        </w:rPr>
      </w:pPr>
    </w:p>
    <w:p>
      <w:pPr>
        <w:pStyle w:val="13"/>
        <w:numPr>
          <w:ilvl w:val="0"/>
          <w:numId w:val="3"/>
        </w:numPr>
        <w:shd w:val="clear" w:color="auto" w:fill="FFFFFF" w:themeFill="background1"/>
        <w:spacing w:line="360" w:lineRule="auto"/>
        <w:ind w:left="709" w:hanging="283"/>
        <w:jc w:val="both"/>
        <w:rPr>
          <w:rFonts w:hint="default" w:ascii="Cambria" w:hAnsi="Cambria" w:cs="Cambria"/>
          <w:b/>
          <w:sz w:val="24"/>
          <w:szCs w:val="24"/>
        </w:rPr>
      </w:pPr>
      <w:r>
        <w:rPr>
          <w:rFonts w:hint="default" w:ascii="Cambria" w:hAnsi="Cambria" w:cs="Cambria"/>
          <w:b/>
          <w:sz w:val="24"/>
          <w:szCs w:val="24"/>
        </w:rPr>
        <w:t>Tugas Pokok dan Fungsi</w:t>
      </w:r>
    </w:p>
    <w:p>
      <w:pPr>
        <w:pStyle w:val="13"/>
        <w:shd w:val="clear" w:color="auto" w:fill="FFFFFF" w:themeFill="background1"/>
        <w:spacing w:line="360" w:lineRule="auto"/>
        <w:ind w:left="709"/>
        <w:jc w:val="both"/>
        <w:rPr>
          <w:rFonts w:hint="default" w:ascii="Cambria" w:hAnsi="Cambria" w:cs="Cambria"/>
          <w:sz w:val="24"/>
          <w:szCs w:val="24"/>
        </w:rPr>
      </w:pPr>
      <w:r>
        <w:rPr>
          <w:rFonts w:hint="default" w:ascii="Cambria" w:hAnsi="Cambria" w:cs="Cambria"/>
          <w:sz w:val="24"/>
          <w:szCs w:val="24"/>
        </w:rPr>
        <w:t xml:space="preserve">Tugas pokok Dinas </w:t>
      </w:r>
      <w:r>
        <w:rPr>
          <w:rFonts w:hint="default" w:ascii="Cambria" w:hAnsi="Cambria" w:cs="Cambria"/>
          <w:sz w:val="24"/>
          <w:szCs w:val="24"/>
          <w:shd w:val="clear" w:color="auto" w:fill="FFFFFF"/>
        </w:rPr>
        <w:t>Perindustrian, Perdagangan, Koperasi, Usaha Kecil dan Menengah</w:t>
      </w:r>
      <w:r>
        <w:rPr>
          <w:rFonts w:hint="default" w:ascii="Cambria" w:hAnsi="Cambria" w:cs="Cambria"/>
          <w:sz w:val="24"/>
          <w:szCs w:val="24"/>
        </w:rPr>
        <w:t xml:space="preserve"> Kabupaten Kepulauan Selayar adalah :</w:t>
      </w:r>
    </w:p>
    <w:p>
      <w:pPr>
        <w:pStyle w:val="13"/>
        <w:numPr>
          <w:ilvl w:val="0"/>
          <w:numId w:val="4"/>
        </w:numPr>
        <w:shd w:val="clear" w:color="auto" w:fill="FFFFFF" w:themeFill="background1"/>
        <w:spacing w:line="360" w:lineRule="auto"/>
        <w:ind w:hanging="437"/>
        <w:jc w:val="both"/>
        <w:rPr>
          <w:rFonts w:hint="default" w:ascii="Cambria" w:hAnsi="Cambria" w:cs="Cambria"/>
          <w:sz w:val="24"/>
          <w:szCs w:val="24"/>
        </w:rPr>
      </w:pPr>
      <w:r>
        <w:rPr>
          <w:rFonts w:hint="default" w:ascii="Cambria" w:hAnsi="Cambria" w:cs="Cambria"/>
          <w:sz w:val="24"/>
          <w:szCs w:val="24"/>
        </w:rPr>
        <w:t xml:space="preserve">Dinas </w:t>
      </w:r>
      <w:r>
        <w:rPr>
          <w:rFonts w:hint="default" w:ascii="Cambria" w:hAnsi="Cambria" w:cs="Cambria"/>
          <w:sz w:val="24"/>
          <w:szCs w:val="24"/>
          <w:shd w:val="clear" w:color="auto" w:fill="FFFFFF"/>
        </w:rPr>
        <w:t>Perindustrian, Perdagangan, Koperasi, Usaha Kecil dan Menengah</w:t>
      </w:r>
      <w:r>
        <w:rPr>
          <w:rFonts w:hint="default" w:ascii="Cambria" w:hAnsi="Cambria" w:cs="Cambria"/>
          <w:sz w:val="24"/>
          <w:szCs w:val="24"/>
        </w:rPr>
        <w:t xml:space="preserve"> Kabupaten Kepulauan Selayar adalah unsur pelaksana urusan pemerintahan dibidang </w:t>
      </w:r>
      <w:r>
        <w:rPr>
          <w:rFonts w:hint="default" w:ascii="Cambria" w:hAnsi="Cambria" w:cs="Cambria"/>
          <w:sz w:val="24"/>
          <w:szCs w:val="24"/>
          <w:shd w:val="clear" w:color="auto" w:fill="FFFFFF"/>
        </w:rPr>
        <w:t>Perindustrian, Perdagangan, Koperasi, Usaha Kecil dan Menengah</w:t>
      </w:r>
      <w:r>
        <w:rPr>
          <w:rFonts w:hint="default" w:ascii="Cambria" w:hAnsi="Cambria" w:cs="Cambria"/>
          <w:sz w:val="24"/>
          <w:szCs w:val="24"/>
        </w:rPr>
        <w:t xml:space="preserve"> yang menjadi kewenangan daerah dan tugas pembantuan yang ditugaskan kepada Pemerintah Daerah.</w:t>
      </w:r>
    </w:p>
    <w:p>
      <w:pPr>
        <w:pStyle w:val="13"/>
        <w:numPr>
          <w:ilvl w:val="0"/>
          <w:numId w:val="4"/>
        </w:numPr>
        <w:shd w:val="clear" w:color="auto" w:fill="FFFFFF" w:themeFill="background1"/>
        <w:spacing w:line="360" w:lineRule="auto"/>
        <w:ind w:hanging="437"/>
        <w:jc w:val="both"/>
        <w:rPr>
          <w:rFonts w:hint="default" w:ascii="Cambria" w:hAnsi="Cambria" w:cs="Cambria"/>
          <w:sz w:val="24"/>
          <w:szCs w:val="24"/>
        </w:rPr>
      </w:pPr>
      <w:r>
        <w:rPr>
          <w:rFonts w:hint="default" w:ascii="Cambria" w:hAnsi="Cambria" w:cs="Cambria"/>
          <w:sz w:val="24"/>
          <w:szCs w:val="24"/>
          <w:shd w:val="clear" w:color="auto" w:fill="FFFFFF"/>
        </w:rPr>
        <w:t>Dinas Perindustrian, Perdagangan, Koperasi, Usaha Kecil dan Menengah</w:t>
      </w:r>
      <w:r>
        <w:rPr>
          <w:rFonts w:hint="default" w:ascii="Cambria" w:hAnsi="Cambria" w:cs="Cambria"/>
          <w:sz w:val="24"/>
          <w:szCs w:val="24"/>
        </w:rPr>
        <w:t xml:space="preserve"> dipimpin oleh Kepala Dinas yang berkedudukan dibawah dan bertanggung jawab kepada Bupati melalui Sekretaris Daerah, yang mempunyai tugas membantu Bupati Kepulauan Selayar dalam merumuskan, pembinaan dan pengendalian kebijakan dibidang </w:t>
      </w:r>
      <w:r>
        <w:rPr>
          <w:rFonts w:hint="default" w:ascii="Cambria" w:hAnsi="Cambria" w:cs="Cambria"/>
          <w:sz w:val="24"/>
          <w:szCs w:val="24"/>
          <w:shd w:val="clear" w:color="auto" w:fill="FFFFFF"/>
        </w:rPr>
        <w:t>Perindustrian, Perdagangan, Koperasi, Usaha Kecil dan Menengah.</w:t>
      </w:r>
    </w:p>
    <w:p>
      <w:pPr>
        <w:pStyle w:val="13"/>
        <w:shd w:val="clear" w:color="auto" w:fill="FFFFFF" w:themeFill="background1"/>
        <w:spacing w:line="360" w:lineRule="auto"/>
        <w:ind w:left="1134" w:firstLine="851"/>
        <w:jc w:val="both"/>
        <w:rPr>
          <w:rFonts w:hint="default" w:ascii="Cambria" w:hAnsi="Cambria" w:cs="Cambria"/>
          <w:sz w:val="24"/>
          <w:szCs w:val="24"/>
        </w:rPr>
      </w:pPr>
      <w:r>
        <w:rPr>
          <w:rFonts w:hint="default" w:ascii="Cambria" w:hAnsi="Cambria" w:cs="Cambria"/>
          <w:sz w:val="24"/>
          <w:szCs w:val="24"/>
        </w:rPr>
        <w:t xml:space="preserve">Untuk melaksanakan tugas Pokok tersebut Dinas </w:t>
      </w:r>
      <w:r>
        <w:rPr>
          <w:rFonts w:hint="default" w:ascii="Cambria" w:hAnsi="Cambria" w:cs="Cambria"/>
          <w:sz w:val="24"/>
          <w:szCs w:val="24"/>
          <w:shd w:val="clear" w:color="auto" w:fill="FFFFFF"/>
        </w:rPr>
        <w:t>Perindustrian, Perdagangan, Koperasi, Usaha Kecil dan Menengah</w:t>
      </w:r>
      <w:r>
        <w:rPr>
          <w:rFonts w:hint="default" w:ascii="Cambria" w:hAnsi="Cambria" w:cs="Cambria"/>
          <w:sz w:val="24"/>
          <w:szCs w:val="24"/>
        </w:rPr>
        <w:t xml:space="preserve"> Kabupaten Kepulauan Selayar menyelenggarakan Fungsi :</w:t>
      </w:r>
    </w:p>
    <w:p>
      <w:pPr>
        <w:pStyle w:val="13"/>
        <w:numPr>
          <w:ilvl w:val="0"/>
          <w:numId w:val="5"/>
        </w:numPr>
        <w:shd w:val="clear" w:color="auto" w:fill="FFFFFF" w:themeFill="background1"/>
        <w:spacing w:after="0" w:line="360" w:lineRule="auto"/>
        <w:ind w:left="1560" w:hanging="426"/>
        <w:jc w:val="both"/>
        <w:rPr>
          <w:rFonts w:hint="default" w:ascii="Cambria" w:hAnsi="Cambria" w:cs="Cambria"/>
          <w:sz w:val="24"/>
          <w:szCs w:val="24"/>
        </w:rPr>
      </w:pPr>
      <w:r>
        <w:rPr>
          <w:rFonts w:hint="default" w:ascii="Cambria" w:hAnsi="Cambria" w:cs="Cambria"/>
          <w:sz w:val="24"/>
          <w:szCs w:val="24"/>
        </w:rPr>
        <w:t>perumusan kebijakan bidang perindustrian, perdagangan, koperasi dan usaha kecil dan menengah;</w:t>
      </w:r>
    </w:p>
    <w:p>
      <w:pPr>
        <w:pStyle w:val="13"/>
        <w:numPr>
          <w:ilvl w:val="0"/>
          <w:numId w:val="5"/>
        </w:numPr>
        <w:shd w:val="clear" w:color="auto" w:fill="FFFFFF" w:themeFill="background1"/>
        <w:spacing w:after="0" w:line="360" w:lineRule="auto"/>
        <w:ind w:left="1560" w:hanging="426"/>
        <w:jc w:val="both"/>
        <w:rPr>
          <w:rFonts w:hint="default" w:ascii="Cambria" w:hAnsi="Cambria" w:cs="Cambria"/>
          <w:sz w:val="24"/>
          <w:szCs w:val="24"/>
        </w:rPr>
      </w:pPr>
      <w:r>
        <w:rPr>
          <w:rFonts w:hint="default" w:ascii="Cambria" w:hAnsi="Cambria" w:cs="Cambria"/>
          <w:sz w:val="24"/>
          <w:szCs w:val="24"/>
        </w:rPr>
        <w:t>pelaksanaan kebijakan bidang perindustrian, perdagangan, koperasi dan usaha kecil dan menengah;</w:t>
      </w:r>
    </w:p>
    <w:p>
      <w:pPr>
        <w:pStyle w:val="13"/>
        <w:numPr>
          <w:ilvl w:val="0"/>
          <w:numId w:val="5"/>
        </w:numPr>
        <w:shd w:val="clear" w:color="auto" w:fill="FFFFFF" w:themeFill="background1"/>
        <w:spacing w:after="0" w:line="360" w:lineRule="auto"/>
        <w:ind w:left="1560" w:hanging="426"/>
        <w:jc w:val="both"/>
        <w:rPr>
          <w:rFonts w:hint="default" w:ascii="Cambria" w:hAnsi="Cambria" w:cs="Cambria"/>
          <w:sz w:val="24"/>
          <w:szCs w:val="24"/>
        </w:rPr>
      </w:pPr>
      <w:r>
        <w:rPr>
          <w:rFonts w:hint="default" w:ascii="Cambria" w:hAnsi="Cambria" w:cs="Cambria"/>
          <w:sz w:val="24"/>
          <w:szCs w:val="24"/>
        </w:rPr>
        <w:t>pelaksanaan evaluasi dan pelaporan di bidang perindustrian, perdagangan, koperasi dan usaha kecil dan menengah;</w:t>
      </w:r>
    </w:p>
    <w:p>
      <w:pPr>
        <w:pStyle w:val="13"/>
        <w:numPr>
          <w:ilvl w:val="0"/>
          <w:numId w:val="5"/>
        </w:numPr>
        <w:shd w:val="clear" w:color="auto" w:fill="FFFFFF" w:themeFill="background1"/>
        <w:spacing w:after="0" w:line="360" w:lineRule="auto"/>
        <w:ind w:left="1560" w:hanging="426"/>
        <w:jc w:val="both"/>
        <w:rPr>
          <w:rFonts w:hint="default" w:ascii="Cambria" w:hAnsi="Cambria" w:cs="Cambria"/>
          <w:sz w:val="24"/>
          <w:szCs w:val="24"/>
        </w:rPr>
      </w:pPr>
      <w:r>
        <w:rPr>
          <w:rFonts w:hint="default" w:ascii="Cambria" w:hAnsi="Cambria" w:cs="Cambria"/>
          <w:sz w:val="24"/>
          <w:szCs w:val="24"/>
        </w:rPr>
        <w:t>pelaksanaan administrasi Dinas; dan</w:t>
      </w:r>
    </w:p>
    <w:p>
      <w:pPr>
        <w:pStyle w:val="13"/>
        <w:numPr>
          <w:ilvl w:val="0"/>
          <w:numId w:val="5"/>
        </w:numPr>
        <w:shd w:val="clear" w:color="auto" w:fill="FFFFFF" w:themeFill="background1"/>
        <w:spacing w:after="0" w:line="360" w:lineRule="auto"/>
        <w:ind w:left="1560" w:hanging="426"/>
        <w:jc w:val="both"/>
        <w:rPr>
          <w:rFonts w:hint="default" w:ascii="Cambria" w:hAnsi="Cambria" w:cs="Cambria"/>
          <w:sz w:val="24"/>
          <w:szCs w:val="24"/>
        </w:rPr>
      </w:pPr>
      <w:r>
        <w:rPr>
          <w:rFonts w:hint="default" w:ascii="Cambria" w:hAnsi="Cambria" w:cs="Cambria"/>
          <w:sz w:val="24"/>
          <w:szCs w:val="24"/>
        </w:rPr>
        <w:t>pelaksanaan fungsi lain yang diberikan oleh Bupati terkait tugas dan fungsinya.</w:t>
      </w:r>
    </w:p>
    <w:p>
      <w:pPr>
        <w:pStyle w:val="13"/>
        <w:spacing w:line="360" w:lineRule="auto"/>
        <w:ind w:left="1134" w:firstLine="851"/>
        <w:jc w:val="both"/>
        <w:rPr>
          <w:rFonts w:hint="default" w:ascii="Cambria" w:hAnsi="Cambria" w:cs="Cambria"/>
          <w:sz w:val="24"/>
          <w:szCs w:val="24"/>
        </w:rPr>
      </w:pPr>
      <w:r>
        <w:rPr>
          <w:rFonts w:hint="default" w:ascii="Cambria" w:hAnsi="Cambria" w:cs="Cambria"/>
          <w:sz w:val="24"/>
          <w:szCs w:val="24"/>
        </w:rPr>
        <w:t>Dari kelemahan – kelemahan diatas Dinas Perindustrian dan Perdagangan Koperasi dan Usaha Kecil Menengah mengimbangi dengan kelebihan atau kekuatan dalam menjalankan tugas dan fungsinya yaitu :</w:t>
      </w:r>
    </w:p>
    <w:p>
      <w:pPr>
        <w:pStyle w:val="13"/>
        <w:numPr>
          <w:ilvl w:val="0"/>
          <w:numId w:val="6"/>
        </w:numPr>
        <w:spacing w:line="360" w:lineRule="auto"/>
        <w:ind w:left="1560" w:hanging="426"/>
        <w:jc w:val="both"/>
        <w:rPr>
          <w:rFonts w:hint="default" w:ascii="Cambria" w:hAnsi="Cambria" w:cs="Cambria"/>
          <w:sz w:val="24"/>
          <w:szCs w:val="24"/>
        </w:rPr>
      </w:pPr>
      <w:r>
        <w:rPr>
          <w:rFonts w:hint="default" w:ascii="Cambria" w:hAnsi="Cambria" w:cs="Cambria"/>
          <w:sz w:val="24"/>
          <w:szCs w:val="24"/>
        </w:rPr>
        <w:t>Memiliki perencanaan strategis sebagai acuan dalam pelaksanaan tupoksinya;</w:t>
      </w:r>
    </w:p>
    <w:p>
      <w:pPr>
        <w:pStyle w:val="13"/>
        <w:numPr>
          <w:ilvl w:val="0"/>
          <w:numId w:val="6"/>
        </w:numPr>
        <w:spacing w:line="360" w:lineRule="auto"/>
        <w:ind w:left="1560" w:hanging="426"/>
        <w:jc w:val="both"/>
        <w:rPr>
          <w:rFonts w:hint="default" w:ascii="Cambria" w:hAnsi="Cambria" w:cs="Cambria"/>
          <w:sz w:val="24"/>
          <w:szCs w:val="24"/>
        </w:rPr>
      </w:pPr>
      <w:r>
        <w:rPr>
          <w:rFonts w:hint="default" w:ascii="Cambria" w:hAnsi="Cambria" w:cs="Cambria"/>
          <w:sz w:val="24"/>
          <w:szCs w:val="24"/>
        </w:rPr>
        <w:t xml:space="preserve"> Memiliki struktur organisasi dan tupoksi yang jelas sehingga tidak terjadi tumpang tindih dalam pelaksanaan tugas;</w:t>
      </w:r>
    </w:p>
    <w:p>
      <w:pPr>
        <w:pStyle w:val="13"/>
        <w:numPr>
          <w:ilvl w:val="0"/>
          <w:numId w:val="6"/>
        </w:numPr>
        <w:spacing w:line="360" w:lineRule="auto"/>
        <w:ind w:left="1560" w:hanging="426"/>
        <w:jc w:val="both"/>
        <w:rPr>
          <w:rFonts w:hint="default" w:ascii="Cambria" w:hAnsi="Cambria" w:cs="Cambria"/>
          <w:sz w:val="24"/>
          <w:szCs w:val="24"/>
        </w:rPr>
      </w:pPr>
      <w:r>
        <w:rPr>
          <w:rFonts w:hint="default" w:ascii="Cambria" w:hAnsi="Cambria" w:cs="Cambria"/>
          <w:sz w:val="24"/>
          <w:szCs w:val="24"/>
        </w:rPr>
        <w:t>Adanya kejelasan pembagian kewenangan, kedudukan, tugas dan fungsinya berupa peraturan, pedoman, juklak, juknis pada setiap operasional kegiatan;</w:t>
      </w:r>
    </w:p>
    <w:p>
      <w:pPr>
        <w:pStyle w:val="13"/>
        <w:numPr>
          <w:ilvl w:val="0"/>
          <w:numId w:val="6"/>
        </w:numPr>
        <w:spacing w:line="360" w:lineRule="auto"/>
        <w:ind w:left="1560" w:hanging="426"/>
        <w:jc w:val="both"/>
        <w:rPr>
          <w:rFonts w:hint="default" w:ascii="Cambria" w:hAnsi="Cambria" w:cs="Cambria"/>
          <w:sz w:val="24"/>
          <w:szCs w:val="24"/>
        </w:rPr>
      </w:pPr>
      <w:r>
        <w:rPr>
          <w:rFonts w:hint="default" w:ascii="Cambria" w:hAnsi="Cambria" w:cs="Cambria"/>
          <w:sz w:val="24"/>
          <w:szCs w:val="24"/>
        </w:rPr>
        <w:t>Profesionalisme pegawai;</w:t>
      </w:r>
    </w:p>
    <w:p>
      <w:pPr>
        <w:pStyle w:val="13"/>
        <w:spacing w:line="360" w:lineRule="auto"/>
        <w:ind w:left="1560"/>
        <w:jc w:val="both"/>
        <w:rPr>
          <w:rFonts w:hint="default" w:ascii="Cambria" w:hAnsi="Cambria" w:cs="Cambria"/>
          <w:sz w:val="24"/>
          <w:szCs w:val="24"/>
        </w:rPr>
      </w:pPr>
    </w:p>
    <w:p>
      <w:pPr>
        <w:pStyle w:val="13"/>
        <w:numPr>
          <w:ilvl w:val="0"/>
          <w:numId w:val="3"/>
        </w:numPr>
        <w:shd w:val="clear" w:color="auto" w:fill="FFFFFF" w:themeFill="background1"/>
        <w:spacing w:line="360" w:lineRule="auto"/>
        <w:ind w:left="709" w:hanging="283"/>
        <w:jc w:val="both"/>
        <w:rPr>
          <w:rFonts w:hint="default" w:ascii="Cambria" w:hAnsi="Cambria" w:cs="Cambria"/>
          <w:b/>
          <w:sz w:val="24"/>
          <w:szCs w:val="24"/>
        </w:rPr>
      </w:pPr>
      <w:r>
        <w:rPr>
          <w:rFonts w:hint="default" w:ascii="Cambria" w:hAnsi="Cambria" w:cs="Cambria"/>
          <w:b/>
          <w:sz w:val="24"/>
          <w:szCs w:val="24"/>
        </w:rPr>
        <w:t>Sumber Daya</w:t>
      </w:r>
    </w:p>
    <w:p>
      <w:pPr>
        <w:pStyle w:val="13"/>
        <w:numPr>
          <w:ilvl w:val="0"/>
          <w:numId w:val="7"/>
        </w:numPr>
        <w:shd w:val="clear" w:color="auto" w:fill="FFFFFF" w:themeFill="background1"/>
        <w:spacing w:line="360" w:lineRule="auto"/>
        <w:ind w:left="1134" w:hanging="425"/>
        <w:jc w:val="both"/>
        <w:rPr>
          <w:rFonts w:hint="default" w:ascii="Cambria" w:hAnsi="Cambria" w:cs="Cambria"/>
          <w:b/>
          <w:sz w:val="24"/>
          <w:szCs w:val="24"/>
        </w:rPr>
      </w:pPr>
      <w:r>
        <w:rPr>
          <w:rFonts w:hint="default" w:ascii="Cambria" w:hAnsi="Cambria" w:cs="Cambria"/>
          <w:b/>
          <w:sz w:val="24"/>
          <w:szCs w:val="24"/>
        </w:rPr>
        <w:t>Sumber Daya Manusia</w:t>
      </w:r>
    </w:p>
    <w:p>
      <w:pPr>
        <w:pStyle w:val="13"/>
        <w:shd w:val="clear" w:color="auto" w:fill="FFFFFF" w:themeFill="background1"/>
        <w:spacing w:line="360" w:lineRule="auto"/>
        <w:ind w:left="1134" w:firstLine="567"/>
        <w:jc w:val="both"/>
        <w:rPr>
          <w:rFonts w:hint="default" w:ascii="Cambria" w:hAnsi="Cambria" w:cs="Cambria"/>
          <w:color w:val="000000" w:themeColor="text1"/>
          <w:sz w:val="24"/>
          <w:szCs w:val="24"/>
          <w14:textFill>
            <w14:solidFill>
              <w14:schemeClr w14:val="tx1"/>
            </w14:solidFill>
          </w14:textFill>
        </w:rPr>
      </w:pPr>
      <w:r>
        <w:rPr>
          <w:rFonts w:hint="default" w:ascii="Cambria" w:hAnsi="Cambria" w:cs="Cambria"/>
          <w:color w:val="000000" w:themeColor="text1"/>
          <w:sz w:val="24"/>
          <w:szCs w:val="24"/>
          <w14:textFill>
            <w14:solidFill>
              <w14:schemeClr w14:val="tx1"/>
            </w14:solidFill>
          </w14:textFill>
        </w:rPr>
        <w:t xml:space="preserve">Untuk melaksanakan tugas pokok dan fungsi Dinas </w:t>
      </w:r>
      <w:r>
        <w:rPr>
          <w:rFonts w:hint="default" w:ascii="Cambria" w:hAnsi="Cambria" w:cs="Cambria"/>
          <w:bCs/>
          <w:color w:val="000000" w:themeColor="text1"/>
          <w:sz w:val="24"/>
          <w:szCs w:val="24"/>
          <w14:textFill>
            <w14:solidFill>
              <w14:schemeClr w14:val="tx1"/>
            </w14:solidFill>
          </w14:textFill>
        </w:rPr>
        <w:t>Perindustrian, Perdagangan, Koperasi dan UKM</w:t>
      </w:r>
      <w:r>
        <w:rPr>
          <w:rFonts w:hint="default" w:ascii="Cambria" w:hAnsi="Cambria" w:cs="Cambria"/>
          <w:color w:val="000000" w:themeColor="text1"/>
          <w:sz w:val="24"/>
          <w:szCs w:val="24"/>
          <w14:textFill>
            <w14:solidFill>
              <w14:schemeClr w14:val="tx1"/>
            </w14:solidFill>
          </w14:textFill>
        </w:rPr>
        <w:t xml:space="preserve"> Kabupaten Kepulauan Selayar didukung oleh</w:t>
      </w:r>
      <w:r>
        <w:rPr>
          <w:rFonts w:hint="default" w:ascii="Cambria" w:hAnsi="Cambria" w:cs="Cambria"/>
          <w:sz w:val="24"/>
          <w:szCs w:val="24"/>
        </w:rPr>
        <w:t xml:space="preserve"> 94 (Sembilan puluh empat) orang Pegawai, terdiri dari 33 (tiga puluh tiga) orang Pegawai Negeri Sipil, 61 (Enam puluh satu) orang Pegawai Harian Lepas, </w:t>
      </w:r>
      <w:r>
        <w:rPr>
          <w:rFonts w:hint="default" w:ascii="Cambria" w:hAnsi="Cambria" w:cs="Cambria"/>
          <w:color w:val="000000" w:themeColor="text1"/>
          <w:sz w:val="24"/>
          <w:szCs w:val="24"/>
          <w14:textFill>
            <w14:solidFill>
              <w14:schemeClr w14:val="tx1"/>
            </w14:solidFill>
          </w14:textFill>
        </w:rPr>
        <w:t>Untuk lebih jelas ada pada data terlampir.</w:t>
      </w:r>
    </w:p>
    <w:p>
      <w:pPr>
        <w:pStyle w:val="13"/>
        <w:shd w:val="clear" w:color="auto" w:fill="FFFFFF" w:themeFill="background1"/>
        <w:spacing w:line="360" w:lineRule="auto"/>
        <w:ind w:left="1134" w:firstLine="567"/>
        <w:jc w:val="both"/>
        <w:rPr>
          <w:rFonts w:hint="default" w:ascii="Cambria" w:hAnsi="Cambria" w:cs="Cambria"/>
          <w:color w:val="000000" w:themeColor="text1"/>
          <w:sz w:val="24"/>
          <w:szCs w:val="24"/>
          <w14:textFill>
            <w14:solidFill>
              <w14:schemeClr w14:val="tx1"/>
            </w14:solidFill>
          </w14:textFill>
        </w:rPr>
      </w:pPr>
    </w:p>
    <w:p>
      <w:pPr>
        <w:pStyle w:val="13"/>
        <w:shd w:val="clear" w:color="auto" w:fill="FFFFFF" w:themeFill="background1"/>
        <w:spacing w:line="360" w:lineRule="auto"/>
        <w:ind w:left="1134" w:firstLine="567"/>
        <w:jc w:val="both"/>
        <w:rPr>
          <w:rFonts w:hint="default" w:ascii="Cambria" w:hAnsi="Cambria" w:cs="Cambria"/>
          <w:color w:val="000000" w:themeColor="text1"/>
          <w:sz w:val="24"/>
          <w:szCs w:val="24"/>
          <w14:textFill>
            <w14:solidFill>
              <w14:schemeClr w14:val="tx1"/>
            </w14:solidFill>
          </w14:textFill>
        </w:rPr>
      </w:pPr>
    </w:p>
    <w:p>
      <w:pPr>
        <w:pStyle w:val="13"/>
        <w:shd w:val="clear" w:color="auto" w:fill="FFFFFF" w:themeFill="background1"/>
        <w:spacing w:line="360" w:lineRule="auto"/>
        <w:ind w:left="1134" w:firstLine="567"/>
        <w:jc w:val="both"/>
        <w:rPr>
          <w:rFonts w:hint="default" w:ascii="Cambria" w:hAnsi="Cambria" w:cs="Cambria"/>
          <w:color w:val="000000" w:themeColor="text1"/>
          <w:sz w:val="24"/>
          <w:szCs w:val="24"/>
          <w14:textFill>
            <w14:solidFill>
              <w14:schemeClr w14:val="tx1"/>
            </w14:solidFill>
          </w14:textFill>
        </w:rPr>
      </w:pPr>
    </w:p>
    <w:p>
      <w:pPr>
        <w:pStyle w:val="13"/>
        <w:shd w:val="clear" w:color="auto" w:fill="FFFFFF" w:themeFill="background1"/>
        <w:spacing w:line="360" w:lineRule="auto"/>
        <w:ind w:left="0" w:leftChars="0" w:firstLine="0" w:firstLineChars="0"/>
        <w:jc w:val="both"/>
        <w:rPr>
          <w:rFonts w:hint="default" w:ascii="Cambria" w:hAnsi="Cambria" w:cs="Cambria"/>
          <w:color w:val="000000" w:themeColor="text1"/>
          <w:sz w:val="24"/>
          <w:szCs w:val="24"/>
          <w14:textFill>
            <w14:solidFill>
              <w14:schemeClr w14:val="tx1"/>
            </w14:solidFill>
          </w14:textFill>
        </w:rPr>
      </w:pPr>
    </w:p>
    <w:p>
      <w:pPr>
        <w:pStyle w:val="13"/>
        <w:numPr>
          <w:ilvl w:val="0"/>
          <w:numId w:val="8"/>
        </w:numPr>
        <w:shd w:val="clear" w:color="auto" w:fill="FFFFFF" w:themeFill="background1"/>
        <w:spacing w:line="360" w:lineRule="auto"/>
        <w:ind w:left="1701" w:hanging="567"/>
        <w:jc w:val="both"/>
        <w:rPr>
          <w:rFonts w:hint="default" w:ascii="Cambria" w:hAnsi="Cambria" w:cs="Cambria"/>
          <w:b/>
          <w:sz w:val="24"/>
          <w:szCs w:val="24"/>
        </w:rPr>
      </w:pPr>
      <w:r>
        <w:rPr>
          <w:rFonts w:hint="default" w:ascii="Cambria" w:hAnsi="Cambria" w:cs="Cambria"/>
          <w:sz w:val="24"/>
          <w:szCs w:val="24"/>
        </w:rPr>
        <w:t>Data Pegawai Berdasarkan Golongan</w:t>
      </w:r>
    </w:p>
    <w:tbl>
      <w:tblPr>
        <w:tblStyle w:val="21"/>
        <w:tblpPr w:leftFromText="180" w:rightFromText="180" w:vertAnchor="text" w:horzAnchor="margin" w:tblpXSpec="right" w:tblpY="51"/>
        <w:tblW w:w="0" w:type="auto"/>
        <w:tblInd w:w="0" w:type="dxa"/>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Layout w:type="autofit"/>
        <w:tblCellMar>
          <w:top w:w="0" w:type="dxa"/>
          <w:left w:w="108" w:type="dxa"/>
          <w:bottom w:w="0" w:type="dxa"/>
          <w:right w:w="108" w:type="dxa"/>
        </w:tblCellMar>
      </w:tblPr>
      <w:tblGrid>
        <w:gridCol w:w="705"/>
        <w:gridCol w:w="2400"/>
        <w:gridCol w:w="1020"/>
        <w:gridCol w:w="1275"/>
        <w:gridCol w:w="902"/>
        <w:gridCol w:w="1276"/>
      </w:tblGrid>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664" w:hRule="atLeast"/>
        </w:trPr>
        <w:tc>
          <w:tcPr>
            <w:tcW w:w="705" w:type="dxa"/>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2"/>
                <w:szCs w:val="22"/>
                <w:lang w:val="id-ID" w:eastAsia="id-ID"/>
              </w:rPr>
            </w:pPr>
          </w:p>
          <w:p>
            <w:pPr>
              <w:tabs>
                <w:tab w:val="left" w:pos="1276"/>
              </w:tabs>
              <w:autoSpaceDE w:val="0"/>
              <w:autoSpaceDN w:val="0"/>
              <w:adjustRightInd w:val="0"/>
              <w:spacing w:after="0" w:line="360" w:lineRule="auto"/>
              <w:jc w:val="center"/>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id-ID"/>
              </w:rPr>
              <w:t>No</w:t>
            </w:r>
          </w:p>
        </w:tc>
        <w:tc>
          <w:tcPr>
            <w:tcW w:w="2400" w:type="dxa"/>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2"/>
                <w:szCs w:val="22"/>
                <w:lang w:val="id-ID" w:eastAsia="en-GB"/>
              </w:rPr>
            </w:pPr>
          </w:p>
          <w:p>
            <w:pPr>
              <w:tabs>
                <w:tab w:val="left" w:pos="1276"/>
              </w:tabs>
              <w:autoSpaceDE w:val="0"/>
              <w:autoSpaceDN w:val="0"/>
              <w:adjustRightInd w:val="0"/>
              <w:spacing w:after="0" w:line="360" w:lineRule="auto"/>
              <w:jc w:val="center"/>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en-GB"/>
              </w:rPr>
              <w:t>Dinas/Bidang/Seksi</w:t>
            </w:r>
          </w:p>
        </w:tc>
        <w:tc>
          <w:tcPr>
            <w:tcW w:w="3197" w:type="dxa"/>
            <w:gridSpan w:val="3"/>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2"/>
                <w:szCs w:val="22"/>
                <w:lang w:val="id-ID" w:eastAsia="en-GB"/>
              </w:rPr>
            </w:pPr>
            <w:r>
              <w:rPr>
                <w:rFonts w:hint="default" w:ascii="Cambria" w:hAnsi="Cambria" w:eastAsia="Times New Roman" w:cs="Cambria"/>
                <w:b/>
                <w:bCs/>
                <w:sz w:val="22"/>
                <w:szCs w:val="22"/>
                <w:lang w:val="id-ID" w:eastAsia="en-GB"/>
              </w:rPr>
              <w:t>Golongan</w:t>
            </w:r>
          </w:p>
          <w:p>
            <w:pPr>
              <w:tabs>
                <w:tab w:val="left" w:pos="1276"/>
              </w:tabs>
              <w:autoSpaceDE w:val="0"/>
              <w:autoSpaceDN w:val="0"/>
              <w:adjustRightInd w:val="0"/>
              <w:spacing w:after="0" w:line="360" w:lineRule="auto"/>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id-ID"/>
              </w:rPr>
              <w:t xml:space="preserve">    IV            </w:t>
            </w:r>
            <w:r>
              <w:rPr>
                <w:rFonts w:hint="default" w:ascii="Cambria" w:hAnsi="Cambria" w:eastAsia="Times New Roman" w:cs="Cambria"/>
                <w:b/>
                <w:bCs/>
                <w:sz w:val="22"/>
                <w:szCs w:val="22"/>
                <w:lang w:eastAsia="id-ID"/>
              </w:rPr>
              <w:t xml:space="preserve"> </w:t>
            </w:r>
            <w:r>
              <w:rPr>
                <w:rFonts w:hint="default" w:ascii="Cambria" w:hAnsi="Cambria" w:eastAsia="Times New Roman" w:cs="Cambria"/>
                <w:b/>
                <w:bCs/>
                <w:sz w:val="22"/>
                <w:szCs w:val="22"/>
                <w:lang w:val="id-ID" w:eastAsia="id-ID"/>
              </w:rPr>
              <w:t xml:space="preserve"> III               II</w:t>
            </w:r>
          </w:p>
        </w:tc>
        <w:tc>
          <w:tcPr>
            <w:tcW w:w="1276" w:type="dxa"/>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2"/>
                <w:szCs w:val="22"/>
                <w:lang w:val="id-ID" w:eastAsia="en-GB"/>
              </w:rPr>
            </w:pPr>
          </w:p>
          <w:p>
            <w:pPr>
              <w:tabs>
                <w:tab w:val="left" w:pos="1276"/>
              </w:tabs>
              <w:autoSpaceDE w:val="0"/>
              <w:autoSpaceDN w:val="0"/>
              <w:adjustRightInd w:val="0"/>
              <w:spacing w:after="0" w:line="360" w:lineRule="auto"/>
              <w:jc w:val="both"/>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en-GB"/>
              </w:rPr>
              <w:t xml:space="preserve">   Jumlah</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516" w:hRule="atLeast"/>
        </w:trPr>
        <w:tc>
          <w:tcPr>
            <w:tcW w:w="705" w:type="dxa"/>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id-ID"/>
              </w:rPr>
              <w:t>1</w:t>
            </w:r>
          </w:p>
        </w:tc>
        <w:tc>
          <w:tcPr>
            <w:tcW w:w="2400" w:type="dxa"/>
          </w:tcPr>
          <w:p>
            <w:pPr>
              <w:tabs>
                <w:tab w:val="left" w:pos="1276"/>
              </w:tabs>
              <w:autoSpaceDE w:val="0"/>
              <w:autoSpaceDN w:val="0"/>
              <w:adjustRightInd w:val="0"/>
              <w:spacing w:after="0" w:line="360" w:lineRule="auto"/>
              <w:jc w:val="both"/>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Kepala Dinas</w:t>
            </w:r>
          </w:p>
        </w:tc>
        <w:tc>
          <w:tcPr>
            <w:tcW w:w="1020"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1 Org</w:t>
            </w:r>
          </w:p>
        </w:tc>
        <w:tc>
          <w:tcPr>
            <w:tcW w:w="1275"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w:t>
            </w:r>
          </w:p>
        </w:tc>
        <w:tc>
          <w:tcPr>
            <w:tcW w:w="902"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1 Org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c>
          <w:tcPr>
            <w:tcW w:w="705" w:type="dxa"/>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id-ID"/>
              </w:rPr>
              <w:t>2</w:t>
            </w:r>
          </w:p>
        </w:tc>
        <w:tc>
          <w:tcPr>
            <w:tcW w:w="2400" w:type="dxa"/>
          </w:tcPr>
          <w:p>
            <w:pPr>
              <w:tabs>
                <w:tab w:val="left" w:pos="1276"/>
              </w:tabs>
              <w:autoSpaceDE w:val="0"/>
              <w:autoSpaceDN w:val="0"/>
              <w:adjustRightInd w:val="0"/>
              <w:spacing w:after="0" w:line="360" w:lineRule="auto"/>
              <w:jc w:val="both"/>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Sekretariat</w:t>
            </w:r>
          </w:p>
        </w:tc>
        <w:tc>
          <w:tcPr>
            <w:tcW w:w="1020"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1 Org</w:t>
            </w:r>
          </w:p>
        </w:tc>
        <w:tc>
          <w:tcPr>
            <w:tcW w:w="1275"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7</w:t>
            </w:r>
            <w:r>
              <w:rPr>
                <w:rFonts w:hint="default" w:ascii="Cambria" w:hAnsi="Cambria" w:eastAsia="Times New Roman" w:cs="Cambria"/>
                <w:sz w:val="22"/>
                <w:szCs w:val="22"/>
                <w:lang w:val="id-ID" w:eastAsia="id-ID"/>
              </w:rPr>
              <w:t xml:space="preserve"> Org</w:t>
            </w:r>
          </w:p>
        </w:tc>
        <w:tc>
          <w:tcPr>
            <w:tcW w:w="902"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2</w:t>
            </w:r>
            <w:r>
              <w:rPr>
                <w:rFonts w:hint="default" w:ascii="Cambria" w:hAnsi="Cambria" w:eastAsia="Times New Roman" w:cs="Cambria"/>
                <w:sz w:val="22"/>
                <w:szCs w:val="22"/>
                <w:lang w:val="id-ID" w:eastAsia="id-ID"/>
              </w:rPr>
              <w:t xml:space="preserve"> Org</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10</w:t>
            </w:r>
            <w:r>
              <w:rPr>
                <w:rFonts w:hint="default" w:ascii="Cambria" w:hAnsi="Cambria" w:eastAsia="Times New Roman" w:cs="Cambria"/>
                <w:sz w:val="22"/>
                <w:szCs w:val="22"/>
                <w:lang w:val="id-ID" w:eastAsia="id-ID"/>
              </w:rPr>
              <w:t xml:space="preserve"> Org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241" w:hRule="atLeast"/>
        </w:trPr>
        <w:tc>
          <w:tcPr>
            <w:tcW w:w="705" w:type="dxa"/>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id-ID"/>
              </w:rPr>
              <w:t>3</w:t>
            </w:r>
          </w:p>
        </w:tc>
        <w:tc>
          <w:tcPr>
            <w:tcW w:w="2400" w:type="dxa"/>
          </w:tcPr>
          <w:p>
            <w:pPr>
              <w:tabs>
                <w:tab w:val="left" w:pos="1276"/>
              </w:tabs>
              <w:autoSpaceDE w:val="0"/>
              <w:autoSpaceDN w:val="0"/>
              <w:adjustRightInd w:val="0"/>
              <w:spacing w:after="0" w:line="360" w:lineRule="auto"/>
              <w:jc w:val="both"/>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Perindustrian</w:t>
            </w:r>
          </w:p>
        </w:tc>
        <w:tc>
          <w:tcPr>
            <w:tcW w:w="1020"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eastAsia="id-ID"/>
              </w:rPr>
            </w:pPr>
            <w:r>
              <w:rPr>
                <w:rFonts w:hint="default" w:ascii="Cambria" w:hAnsi="Cambria" w:eastAsia="Times New Roman" w:cs="Cambria"/>
                <w:sz w:val="22"/>
                <w:szCs w:val="22"/>
                <w:lang w:eastAsia="id-ID"/>
              </w:rPr>
              <w:t>1 Org</w:t>
            </w:r>
          </w:p>
        </w:tc>
        <w:tc>
          <w:tcPr>
            <w:tcW w:w="1275"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4</w:t>
            </w:r>
            <w:r>
              <w:rPr>
                <w:rFonts w:hint="default" w:ascii="Cambria" w:hAnsi="Cambria" w:eastAsia="Times New Roman" w:cs="Cambria"/>
                <w:sz w:val="22"/>
                <w:szCs w:val="22"/>
                <w:lang w:val="id-ID" w:eastAsia="id-ID"/>
              </w:rPr>
              <w:t xml:space="preserve"> Org</w:t>
            </w:r>
          </w:p>
        </w:tc>
        <w:tc>
          <w:tcPr>
            <w:tcW w:w="902"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1</w:t>
            </w:r>
            <w:r>
              <w:rPr>
                <w:rFonts w:hint="default" w:ascii="Cambria" w:hAnsi="Cambria" w:eastAsia="Times New Roman" w:cs="Cambria"/>
                <w:sz w:val="22"/>
                <w:szCs w:val="22"/>
                <w:lang w:val="id-ID" w:eastAsia="id-ID"/>
              </w:rPr>
              <w:t xml:space="preserve"> Org</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6</w:t>
            </w:r>
            <w:r>
              <w:rPr>
                <w:rFonts w:hint="default" w:ascii="Cambria" w:hAnsi="Cambria" w:eastAsia="Times New Roman" w:cs="Cambria"/>
                <w:sz w:val="22"/>
                <w:szCs w:val="22"/>
                <w:lang w:val="id-ID" w:eastAsia="id-ID"/>
              </w:rPr>
              <w:t xml:space="preserve"> Org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232" w:hRule="atLeast"/>
        </w:trPr>
        <w:tc>
          <w:tcPr>
            <w:tcW w:w="705" w:type="dxa"/>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id-ID"/>
              </w:rPr>
              <w:t>4</w:t>
            </w:r>
          </w:p>
        </w:tc>
        <w:tc>
          <w:tcPr>
            <w:tcW w:w="2400" w:type="dxa"/>
          </w:tcPr>
          <w:p>
            <w:pPr>
              <w:tabs>
                <w:tab w:val="left" w:pos="1276"/>
              </w:tabs>
              <w:autoSpaceDE w:val="0"/>
              <w:autoSpaceDN w:val="0"/>
              <w:adjustRightInd w:val="0"/>
              <w:spacing w:after="0" w:line="360" w:lineRule="auto"/>
              <w:jc w:val="both"/>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Perdagangan</w:t>
            </w:r>
          </w:p>
        </w:tc>
        <w:tc>
          <w:tcPr>
            <w:tcW w:w="1020"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1 Org</w:t>
            </w:r>
          </w:p>
        </w:tc>
        <w:tc>
          <w:tcPr>
            <w:tcW w:w="1275"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7</w:t>
            </w:r>
            <w:r>
              <w:rPr>
                <w:rFonts w:hint="default" w:ascii="Cambria" w:hAnsi="Cambria" w:eastAsia="Times New Roman" w:cs="Cambria"/>
                <w:sz w:val="22"/>
                <w:szCs w:val="22"/>
                <w:lang w:val="id-ID" w:eastAsia="id-ID"/>
              </w:rPr>
              <w:t xml:space="preserve"> Org</w:t>
            </w:r>
          </w:p>
        </w:tc>
        <w:tc>
          <w:tcPr>
            <w:tcW w:w="902"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1</w:t>
            </w:r>
            <w:r>
              <w:rPr>
                <w:rFonts w:hint="default" w:ascii="Cambria" w:hAnsi="Cambria" w:eastAsia="Times New Roman" w:cs="Cambria"/>
                <w:sz w:val="22"/>
                <w:szCs w:val="22"/>
                <w:lang w:val="id-ID" w:eastAsia="id-ID"/>
              </w:rPr>
              <w:t xml:space="preserve"> Org</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9</w:t>
            </w:r>
            <w:r>
              <w:rPr>
                <w:rFonts w:hint="default" w:ascii="Cambria" w:hAnsi="Cambria" w:eastAsia="Times New Roman" w:cs="Cambria"/>
                <w:sz w:val="22"/>
                <w:szCs w:val="22"/>
                <w:lang w:val="id-ID" w:eastAsia="id-ID"/>
              </w:rPr>
              <w:t xml:space="preserve"> Org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664" w:hRule="atLeast"/>
        </w:trPr>
        <w:tc>
          <w:tcPr>
            <w:tcW w:w="705" w:type="dxa"/>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id-ID"/>
              </w:rPr>
              <w:t>5</w:t>
            </w:r>
          </w:p>
        </w:tc>
        <w:tc>
          <w:tcPr>
            <w:tcW w:w="2400" w:type="dxa"/>
          </w:tcPr>
          <w:p>
            <w:pPr>
              <w:tabs>
                <w:tab w:val="left" w:pos="1276"/>
              </w:tabs>
              <w:autoSpaceDE w:val="0"/>
              <w:autoSpaceDN w:val="0"/>
              <w:adjustRightInd w:val="0"/>
              <w:spacing w:after="0" w:line="360" w:lineRule="auto"/>
              <w:jc w:val="both"/>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Koperasi, Usaha Kecil dan Menengah</w:t>
            </w:r>
          </w:p>
        </w:tc>
        <w:tc>
          <w:tcPr>
            <w:tcW w:w="1020"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eastAsia="id-ID"/>
              </w:rPr>
            </w:pPr>
            <w:r>
              <w:rPr>
                <w:rFonts w:hint="default" w:ascii="Cambria" w:hAnsi="Cambria" w:eastAsia="Times New Roman" w:cs="Cambria"/>
                <w:sz w:val="22"/>
                <w:szCs w:val="22"/>
                <w:lang w:eastAsia="id-ID"/>
              </w:rPr>
              <w:t xml:space="preserve">1 Org </w:t>
            </w:r>
          </w:p>
        </w:tc>
        <w:tc>
          <w:tcPr>
            <w:tcW w:w="1275"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6</w:t>
            </w:r>
            <w:r>
              <w:rPr>
                <w:rFonts w:hint="default" w:ascii="Cambria" w:hAnsi="Cambria" w:eastAsia="Times New Roman" w:cs="Cambria"/>
                <w:sz w:val="22"/>
                <w:szCs w:val="22"/>
                <w:lang w:val="id-ID" w:eastAsia="id-ID"/>
              </w:rPr>
              <w:t xml:space="preserve"> Org</w:t>
            </w:r>
          </w:p>
        </w:tc>
        <w:tc>
          <w:tcPr>
            <w:tcW w:w="902"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7</w:t>
            </w:r>
            <w:r>
              <w:rPr>
                <w:rFonts w:hint="default" w:ascii="Cambria" w:hAnsi="Cambria" w:eastAsia="Times New Roman" w:cs="Cambria"/>
                <w:sz w:val="22"/>
                <w:szCs w:val="22"/>
                <w:lang w:val="id-ID" w:eastAsia="id-ID"/>
              </w:rPr>
              <w:t xml:space="preserve"> Org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209" w:hRule="atLeast"/>
        </w:trPr>
        <w:tc>
          <w:tcPr>
            <w:tcW w:w="705" w:type="dxa"/>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2"/>
                <w:szCs w:val="22"/>
                <w:lang w:val="id-ID" w:eastAsia="id-ID"/>
              </w:rPr>
            </w:pPr>
          </w:p>
        </w:tc>
        <w:tc>
          <w:tcPr>
            <w:tcW w:w="2400" w:type="dxa"/>
          </w:tcPr>
          <w:p>
            <w:pPr>
              <w:tabs>
                <w:tab w:val="left" w:pos="1276"/>
              </w:tabs>
              <w:autoSpaceDE w:val="0"/>
              <w:autoSpaceDN w:val="0"/>
              <w:adjustRightInd w:val="0"/>
              <w:spacing w:after="0" w:line="360" w:lineRule="auto"/>
              <w:jc w:val="center"/>
              <w:rPr>
                <w:rFonts w:hint="default" w:ascii="Cambria" w:hAnsi="Cambria" w:eastAsia="Times New Roman" w:cs="Cambria"/>
                <w:b/>
                <w:sz w:val="22"/>
                <w:szCs w:val="22"/>
                <w:lang w:val="id-ID" w:eastAsia="id-ID"/>
              </w:rPr>
            </w:pPr>
            <w:r>
              <w:rPr>
                <w:rFonts w:hint="default" w:ascii="Cambria" w:hAnsi="Cambria" w:eastAsia="Times New Roman" w:cs="Cambria"/>
                <w:b/>
                <w:sz w:val="22"/>
                <w:szCs w:val="22"/>
                <w:lang w:val="id-ID" w:eastAsia="id-ID"/>
              </w:rPr>
              <w:t>Total</w:t>
            </w:r>
          </w:p>
        </w:tc>
        <w:tc>
          <w:tcPr>
            <w:tcW w:w="1020" w:type="dxa"/>
          </w:tcPr>
          <w:p>
            <w:pPr>
              <w:tabs>
                <w:tab w:val="left" w:pos="1276"/>
              </w:tabs>
              <w:autoSpaceDE w:val="0"/>
              <w:autoSpaceDN w:val="0"/>
              <w:adjustRightInd w:val="0"/>
              <w:spacing w:after="0" w:line="360" w:lineRule="auto"/>
              <w:jc w:val="center"/>
              <w:rPr>
                <w:rFonts w:hint="default" w:ascii="Cambria" w:hAnsi="Cambria" w:eastAsia="Times New Roman" w:cs="Cambria"/>
                <w:b/>
                <w:sz w:val="22"/>
                <w:szCs w:val="22"/>
                <w:lang w:val="id-ID" w:eastAsia="id-ID"/>
              </w:rPr>
            </w:pPr>
            <w:r>
              <w:rPr>
                <w:rFonts w:hint="default" w:ascii="Cambria" w:hAnsi="Cambria" w:eastAsia="Times New Roman" w:cs="Cambria"/>
                <w:b/>
                <w:sz w:val="22"/>
                <w:szCs w:val="22"/>
                <w:lang w:eastAsia="id-ID"/>
              </w:rPr>
              <w:t>5</w:t>
            </w:r>
            <w:r>
              <w:rPr>
                <w:rFonts w:hint="default" w:ascii="Cambria" w:hAnsi="Cambria" w:eastAsia="Times New Roman" w:cs="Cambria"/>
                <w:b/>
                <w:sz w:val="22"/>
                <w:szCs w:val="22"/>
                <w:lang w:val="id-ID" w:eastAsia="id-ID"/>
              </w:rPr>
              <w:t xml:space="preserve"> Org</w:t>
            </w:r>
          </w:p>
        </w:tc>
        <w:tc>
          <w:tcPr>
            <w:tcW w:w="1275" w:type="dxa"/>
          </w:tcPr>
          <w:p>
            <w:pPr>
              <w:tabs>
                <w:tab w:val="left" w:pos="1276"/>
              </w:tabs>
              <w:autoSpaceDE w:val="0"/>
              <w:autoSpaceDN w:val="0"/>
              <w:adjustRightInd w:val="0"/>
              <w:spacing w:after="0" w:line="360" w:lineRule="auto"/>
              <w:jc w:val="center"/>
              <w:rPr>
                <w:rFonts w:hint="default" w:ascii="Cambria" w:hAnsi="Cambria" w:eastAsia="Times New Roman" w:cs="Cambria"/>
                <w:b/>
                <w:sz w:val="22"/>
                <w:szCs w:val="22"/>
                <w:lang w:val="id-ID" w:eastAsia="id-ID"/>
              </w:rPr>
            </w:pPr>
            <w:r>
              <w:rPr>
                <w:rFonts w:hint="default" w:ascii="Cambria" w:hAnsi="Cambria" w:eastAsia="Times New Roman" w:cs="Cambria"/>
                <w:b/>
                <w:sz w:val="22"/>
                <w:szCs w:val="22"/>
                <w:lang w:val="id-ID" w:eastAsia="id-ID"/>
              </w:rPr>
              <w:t>2</w:t>
            </w:r>
            <w:r>
              <w:rPr>
                <w:rFonts w:hint="default" w:ascii="Cambria" w:hAnsi="Cambria" w:eastAsia="Times New Roman" w:cs="Cambria"/>
                <w:b/>
                <w:sz w:val="22"/>
                <w:szCs w:val="22"/>
                <w:lang w:eastAsia="id-ID"/>
              </w:rPr>
              <w:t>4</w:t>
            </w:r>
            <w:r>
              <w:rPr>
                <w:rFonts w:hint="default" w:ascii="Cambria" w:hAnsi="Cambria" w:eastAsia="Times New Roman" w:cs="Cambria"/>
                <w:b/>
                <w:sz w:val="22"/>
                <w:szCs w:val="22"/>
                <w:lang w:val="id-ID" w:eastAsia="id-ID"/>
              </w:rPr>
              <w:t xml:space="preserve"> Org</w:t>
            </w:r>
          </w:p>
        </w:tc>
        <w:tc>
          <w:tcPr>
            <w:tcW w:w="902" w:type="dxa"/>
          </w:tcPr>
          <w:p>
            <w:pPr>
              <w:tabs>
                <w:tab w:val="left" w:pos="1276"/>
              </w:tabs>
              <w:autoSpaceDE w:val="0"/>
              <w:autoSpaceDN w:val="0"/>
              <w:adjustRightInd w:val="0"/>
              <w:spacing w:after="0" w:line="360" w:lineRule="auto"/>
              <w:jc w:val="center"/>
              <w:rPr>
                <w:rFonts w:hint="default" w:ascii="Cambria" w:hAnsi="Cambria" w:eastAsia="Times New Roman" w:cs="Cambria"/>
                <w:b/>
                <w:sz w:val="22"/>
                <w:szCs w:val="22"/>
                <w:lang w:val="id-ID" w:eastAsia="id-ID"/>
              </w:rPr>
            </w:pPr>
            <w:r>
              <w:rPr>
                <w:rFonts w:hint="default" w:ascii="Cambria" w:hAnsi="Cambria" w:eastAsia="Times New Roman" w:cs="Cambria"/>
                <w:b/>
                <w:sz w:val="22"/>
                <w:szCs w:val="22"/>
                <w:lang w:eastAsia="id-ID"/>
              </w:rPr>
              <w:t>4</w:t>
            </w:r>
            <w:r>
              <w:rPr>
                <w:rFonts w:hint="default" w:ascii="Cambria" w:hAnsi="Cambria" w:eastAsia="Times New Roman" w:cs="Cambria"/>
                <w:b/>
                <w:sz w:val="22"/>
                <w:szCs w:val="22"/>
                <w:lang w:val="id-ID" w:eastAsia="id-ID"/>
              </w:rPr>
              <w:t xml:space="preserve"> Org</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b/>
                <w:sz w:val="22"/>
                <w:szCs w:val="22"/>
                <w:lang w:val="id-ID" w:eastAsia="id-ID"/>
              </w:rPr>
            </w:pPr>
            <w:r>
              <w:rPr>
                <w:rFonts w:hint="default" w:ascii="Cambria" w:hAnsi="Cambria" w:eastAsia="Times New Roman" w:cs="Cambria"/>
                <w:b/>
                <w:sz w:val="22"/>
                <w:szCs w:val="22"/>
                <w:lang w:val="id-ID" w:eastAsia="id-ID"/>
              </w:rPr>
              <w:t>3</w:t>
            </w:r>
            <w:r>
              <w:rPr>
                <w:rFonts w:hint="default" w:ascii="Cambria" w:hAnsi="Cambria" w:eastAsia="Times New Roman" w:cs="Cambria"/>
                <w:b/>
                <w:sz w:val="22"/>
                <w:szCs w:val="22"/>
                <w:lang w:eastAsia="id-ID"/>
              </w:rPr>
              <w:t>3</w:t>
            </w:r>
            <w:r>
              <w:rPr>
                <w:rFonts w:hint="default" w:ascii="Cambria" w:hAnsi="Cambria" w:eastAsia="Times New Roman" w:cs="Cambria"/>
                <w:b/>
                <w:sz w:val="22"/>
                <w:szCs w:val="22"/>
                <w:lang w:val="id-ID" w:eastAsia="id-ID"/>
              </w:rPr>
              <w:t xml:space="preserve"> Org</w:t>
            </w:r>
          </w:p>
        </w:tc>
      </w:tr>
    </w:tbl>
    <w:p>
      <w:pPr>
        <w:shd w:val="clear" w:color="auto" w:fill="FFFFFF" w:themeFill="background1"/>
        <w:spacing w:line="360" w:lineRule="auto"/>
        <w:jc w:val="both"/>
        <w:rPr>
          <w:rFonts w:hint="default" w:ascii="Cambria" w:hAnsi="Cambria" w:cs="Cambria"/>
          <w:b/>
          <w:sz w:val="8"/>
          <w:szCs w:val="8"/>
        </w:rPr>
      </w:pPr>
    </w:p>
    <w:tbl>
      <w:tblPr>
        <w:tblStyle w:val="21"/>
        <w:tblpPr w:leftFromText="180" w:rightFromText="180" w:vertAnchor="text" w:horzAnchor="page" w:tblpX="3301" w:tblpY="616"/>
        <w:tblW w:w="0" w:type="auto"/>
        <w:tblInd w:w="0" w:type="dxa"/>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Layout w:type="autofit"/>
        <w:tblCellMar>
          <w:top w:w="0" w:type="dxa"/>
          <w:left w:w="108" w:type="dxa"/>
          <w:bottom w:w="0" w:type="dxa"/>
          <w:right w:w="108" w:type="dxa"/>
        </w:tblCellMar>
      </w:tblPr>
      <w:tblGrid>
        <w:gridCol w:w="809"/>
        <w:gridCol w:w="1905"/>
        <w:gridCol w:w="1246"/>
        <w:gridCol w:w="1276"/>
        <w:gridCol w:w="1417"/>
      </w:tblGrid>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553" w:hRule="atLeast"/>
        </w:trPr>
        <w:tc>
          <w:tcPr>
            <w:tcW w:w="809" w:type="dxa"/>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2"/>
                <w:szCs w:val="22"/>
                <w:lang w:val="id-ID" w:eastAsia="id-ID"/>
              </w:rPr>
            </w:pPr>
          </w:p>
          <w:p>
            <w:pPr>
              <w:tabs>
                <w:tab w:val="left" w:pos="1276"/>
              </w:tabs>
              <w:autoSpaceDE w:val="0"/>
              <w:autoSpaceDN w:val="0"/>
              <w:adjustRightInd w:val="0"/>
              <w:spacing w:after="0" w:line="360" w:lineRule="auto"/>
              <w:jc w:val="center"/>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id-ID"/>
              </w:rPr>
              <w:t>No</w:t>
            </w:r>
          </w:p>
        </w:tc>
        <w:tc>
          <w:tcPr>
            <w:tcW w:w="1905" w:type="dxa"/>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2"/>
                <w:szCs w:val="22"/>
                <w:lang w:val="id-ID" w:eastAsia="en-GB"/>
              </w:rPr>
            </w:pPr>
          </w:p>
          <w:p>
            <w:pPr>
              <w:tabs>
                <w:tab w:val="left" w:pos="1276"/>
              </w:tabs>
              <w:autoSpaceDE w:val="0"/>
              <w:autoSpaceDN w:val="0"/>
              <w:adjustRightInd w:val="0"/>
              <w:spacing w:after="0" w:line="360" w:lineRule="auto"/>
              <w:jc w:val="center"/>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en-GB"/>
              </w:rPr>
              <w:t>Pendidikan</w:t>
            </w:r>
          </w:p>
        </w:tc>
        <w:tc>
          <w:tcPr>
            <w:tcW w:w="2522" w:type="dxa"/>
            <w:gridSpan w:val="2"/>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ind w:left="-108"/>
              <w:rPr>
                <w:rFonts w:hint="default" w:ascii="Cambria" w:hAnsi="Cambria" w:eastAsia="Times New Roman" w:cs="Cambria"/>
                <w:b w:val="0"/>
                <w:bCs w:val="0"/>
                <w:sz w:val="22"/>
                <w:szCs w:val="22"/>
                <w:lang w:val="id-ID" w:eastAsia="id-ID"/>
              </w:rPr>
            </w:pPr>
          </w:p>
          <w:p>
            <w:pPr>
              <w:tabs>
                <w:tab w:val="left" w:pos="1276"/>
              </w:tabs>
              <w:autoSpaceDE w:val="0"/>
              <w:autoSpaceDN w:val="0"/>
              <w:adjustRightInd w:val="0"/>
              <w:spacing w:after="0" w:line="360" w:lineRule="auto"/>
              <w:ind w:left="-108"/>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id-ID"/>
              </w:rPr>
              <w:t xml:space="preserve">    </w:t>
            </w:r>
            <w:r>
              <w:rPr>
                <w:rFonts w:hint="default" w:ascii="Cambria" w:hAnsi="Cambria" w:eastAsia="Times New Roman" w:cs="Cambria"/>
                <w:b/>
                <w:bCs/>
                <w:sz w:val="22"/>
                <w:szCs w:val="22"/>
                <w:lang w:eastAsia="id-ID"/>
              </w:rPr>
              <w:t xml:space="preserve"> </w:t>
            </w:r>
            <w:r>
              <w:rPr>
                <w:rFonts w:hint="default" w:ascii="Cambria" w:hAnsi="Cambria" w:eastAsia="Times New Roman" w:cs="Cambria"/>
                <w:b/>
                <w:bCs/>
                <w:sz w:val="22"/>
                <w:szCs w:val="22"/>
                <w:lang w:val="id-ID" w:eastAsia="id-ID"/>
              </w:rPr>
              <w:t xml:space="preserve"> PNS        </w:t>
            </w:r>
            <w:r>
              <w:rPr>
                <w:rFonts w:hint="default" w:ascii="Cambria" w:hAnsi="Cambria" w:eastAsia="Times New Roman" w:cs="Cambria"/>
                <w:b/>
                <w:bCs/>
                <w:sz w:val="22"/>
                <w:szCs w:val="22"/>
                <w:lang w:eastAsia="id-ID"/>
              </w:rPr>
              <w:t xml:space="preserve"> </w:t>
            </w:r>
            <w:r>
              <w:rPr>
                <w:rFonts w:hint="default" w:ascii="Cambria" w:hAnsi="Cambria" w:eastAsia="Times New Roman" w:cs="Cambria"/>
                <w:b/>
                <w:bCs/>
                <w:sz w:val="22"/>
                <w:szCs w:val="22"/>
                <w:lang w:val="id-ID" w:eastAsia="id-ID"/>
              </w:rPr>
              <w:t xml:space="preserve">   PHL      </w:t>
            </w:r>
          </w:p>
        </w:tc>
        <w:tc>
          <w:tcPr>
            <w:tcW w:w="1417" w:type="dxa"/>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2"/>
                <w:szCs w:val="22"/>
                <w:lang w:val="id-ID" w:eastAsia="en-GB"/>
              </w:rPr>
            </w:pPr>
          </w:p>
          <w:p>
            <w:pPr>
              <w:tabs>
                <w:tab w:val="left" w:pos="1276"/>
              </w:tabs>
              <w:autoSpaceDE w:val="0"/>
              <w:autoSpaceDN w:val="0"/>
              <w:adjustRightInd w:val="0"/>
              <w:spacing w:after="0" w:line="360" w:lineRule="auto"/>
              <w:jc w:val="center"/>
              <w:rPr>
                <w:rFonts w:hint="default" w:ascii="Cambria" w:hAnsi="Cambria" w:eastAsia="Times New Roman" w:cs="Cambria"/>
                <w:b w:val="0"/>
                <w:bCs w:val="0"/>
                <w:sz w:val="22"/>
                <w:szCs w:val="22"/>
                <w:lang w:val="id-ID" w:eastAsia="id-ID"/>
              </w:rPr>
            </w:pPr>
            <w:r>
              <w:rPr>
                <w:rFonts w:hint="default" w:ascii="Cambria" w:hAnsi="Cambria" w:eastAsia="Times New Roman" w:cs="Cambria"/>
                <w:b/>
                <w:bCs/>
                <w:sz w:val="22"/>
                <w:szCs w:val="22"/>
                <w:lang w:val="id-ID" w:eastAsia="en-GB"/>
              </w:rPr>
              <w:t>Jumlah</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254" w:hRule="atLeast"/>
        </w:trPr>
        <w:tc>
          <w:tcPr>
            <w:tcW w:w="809" w:type="dxa"/>
          </w:tcPr>
          <w:p>
            <w:pPr>
              <w:tabs>
                <w:tab w:val="left" w:pos="1276"/>
              </w:tabs>
              <w:autoSpaceDE w:val="0"/>
              <w:autoSpaceDN w:val="0"/>
              <w:adjustRightInd w:val="0"/>
              <w:spacing w:after="0" w:line="360" w:lineRule="auto"/>
              <w:jc w:val="center"/>
              <w:rPr>
                <w:rFonts w:hint="default" w:ascii="Cambria" w:hAnsi="Cambria" w:eastAsia="Times New Roman" w:cs="Cambria"/>
                <w:b/>
                <w:bCs w:val="0"/>
                <w:sz w:val="22"/>
                <w:szCs w:val="22"/>
                <w:lang w:val="id-ID" w:eastAsia="id-ID"/>
              </w:rPr>
            </w:pPr>
            <w:r>
              <w:rPr>
                <w:rFonts w:hint="default" w:ascii="Cambria" w:hAnsi="Cambria" w:eastAsia="Times New Roman" w:cs="Cambria"/>
                <w:b w:val="0"/>
                <w:bCs/>
                <w:sz w:val="22"/>
                <w:szCs w:val="22"/>
                <w:lang w:val="id-ID" w:eastAsia="id-ID"/>
              </w:rPr>
              <w:t>1</w:t>
            </w:r>
          </w:p>
        </w:tc>
        <w:tc>
          <w:tcPr>
            <w:tcW w:w="1905" w:type="dxa"/>
          </w:tcPr>
          <w:p>
            <w:pPr>
              <w:tabs>
                <w:tab w:val="left" w:pos="1276"/>
              </w:tabs>
              <w:autoSpaceDE w:val="0"/>
              <w:autoSpaceDN w:val="0"/>
              <w:adjustRightInd w:val="0"/>
              <w:spacing w:after="0" w:line="360" w:lineRule="auto"/>
              <w:jc w:val="both"/>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S2</w:t>
            </w:r>
          </w:p>
        </w:tc>
        <w:tc>
          <w:tcPr>
            <w:tcW w:w="124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7</w:t>
            </w:r>
            <w:r>
              <w:rPr>
                <w:rFonts w:hint="default" w:ascii="Cambria" w:hAnsi="Cambria" w:eastAsia="Times New Roman" w:cs="Cambria"/>
                <w:sz w:val="22"/>
                <w:szCs w:val="22"/>
                <w:lang w:val="id-ID" w:eastAsia="id-ID"/>
              </w:rPr>
              <w:t xml:space="preserve"> Org</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w:t>
            </w:r>
          </w:p>
        </w:tc>
        <w:tc>
          <w:tcPr>
            <w:tcW w:w="1417"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7</w:t>
            </w:r>
            <w:r>
              <w:rPr>
                <w:rFonts w:hint="default" w:ascii="Cambria" w:hAnsi="Cambria" w:eastAsia="Times New Roman" w:cs="Cambria"/>
                <w:sz w:val="22"/>
                <w:szCs w:val="22"/>
                <w:lang w:val="id-ID" w:eastAsia="id-ID"/>
              </w:rPr>
              <w:t xml:space="preserve"> Org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246" w:hRule="atLeast"/>
        </w:trPr>
        <w:tc>
          <w:tcPr>
            <w:tcW w:w="809" w:type="dxa"/>
          </w:tcPr>
          <w:p>
            <w:pPr>
              <w:tabs>
                <w:tab w:val="left" w:pos="1276"/>
              </w:tabs>
              <w:autoSpaceDE w:val="0"/>
              <w:autoSpaceDN w:val="0"/>
              <w:adjustRightInd w:val="0"/>
              <w:spacing w:after="0" w:line="360" w:lineRule="auto"/>
              <w:jc w:val="center"/>
              <w:rPr>
                <w:rFonts w:hint="default" w:ascii="Cambria" w:hAnsi="Cambria" w:eastAsia="Times New Roman" w:cs="Cambria"/>
                <w:b/>
                <w:bCs w:val="0"/>
                <w:sz w:val="22"/>
                <w:szCs w:val="22"/>
                <w:lang w:val="id-ID" w:eastAsia="id-ID"/>
              </w:rPr>
            </w:pPr>
            <w:r>
              <w:rPr>
                <w:rFonts w:hint="default" w:ascii="Cambria" w:hAnsi="Cambria" w:eastAsia="Times New Roman" w:cs="Cambria"/>
                <w:b w:val="0"/>
                <w:bCs/>
                <w:sz w:val="22"/>
                <w:szCs w:val="22"/>
                <w:lang w:val="id-ID" w:eastAsia="id-ID"/>
              </w:rPr>
              <w:t>2</w:t>
            </w:r>
          </w:p>
        </w:tc>
        <w:tc>
          <w:tcPr>
            <w:tcW w:w="1905" w:type="dxa"/>
          </w:tcPr>
          <w:p>
            <w:pPr>
              <w:tabs>
                <w:tab w:val="left" w:pos="1276"/>
              </w:tabs>
              <w:autoSpaceDE w:val="0"/>
              <w:autoSpaceDN w:val="0"/>
              <w:adjustRightInd w:val="0"/>
              <w:spacing w:after="0" w:line="360" w:lineRule="auto"/>
              <w:jc w:val="both"/>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S1</w:t>
            </w:r>
          </w:p>
        </w:tc>
        <w:tc>
          <w:tcPr>
            <w:tcW w:w="124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17</w:t>
            </w:r>
            <w:r>
              <w:rPr>
                <w:rFonts w:hint="default" w:ascii="Cambria" w:hAnsi="Cambria" w:eastAsia="Times New Roman" w:cs="Cambria"/>
                <w:sz w:val="22"/>
                <w:szCs w:val="22"/>
                <w:lang w:val="id-ID" w:eastAsia="id-ID"/>
              </w:rPr>
              <w:t xml:space="preserve"> Org</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2</w:t>
            </w:r>
            <w:r>
              <w:rPr>
                <w:rFonts w:hint="default" w:ascii="Cambria" w:hAnsi="Cambria" w:eastAsia="Times New Roman" w:cs="Cambria"/>
                <w:sz w:val="22"/>
                <w:szCs w:val="22"/>
                <w:lang w:eastAsia="id-ID"/>
              </w:rPr>
              <w:t>6</w:t>
            </w:r>
            <w:r>
              <w:rPr>
                <w:rFonts w:hint="default" w:ascii="Cambria" w:hAnsi="Cambria" w:eastAsia="Times New Roman" w:cs="Cambria"/>
                <w:sz w:val="22"/>
                <w:szCs w:val="22"/>
                <w:lang w:val="id-ID" w:eastAsia="id-ID"/>
              </w:rPr>
              <w:t xml:space="preserve"> Org</w:t>
            </w:r>
          </w:p>
        </w:tc>
        <w:tc>
          <w:tcPr>
            <w:tcW w:w="1417"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4</w:t>
            </w:r>
            <w:r>
              <w:rPr>
                <w:rFonts w:hint="default" w:ascii="Cambria" w:hAnsi="Cambria" w:eastAsia="Times New Roman" w:cs="Cambria"/>
                <w:sz w:val="22"/>
                <w:szCs w:val="22"/>
                <w:lang w:eastAsia="id-ID"/>
              </w:rPr>
              <w:t>3</w:t>
            </w:r>
            <w:r>
              <w:rPr>
                <w:rFonts w:hint="default" w:ascii="Cambria" w:hAnsi="Cambria" w:eastAsia="Times New Roman" w:cs="Cambria"/>
                <w:sz w:val="22"/>
                <w:szCs w:val="22"/>
                <w:lang w:val="id-ID" w:eastAsia="id-ID"/>
              </w:rPr>
              <w:t xml:space="preserve"> Org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380" w:hRule="atLeast"/>
        </w:trPr>
        <w:tc>
          <w:tcPr>
            <w:tcW w:w="809" w:type="dxa"/>
          </w:tcPr>
          <w:p>
            <w:pPr>
              <w:tabs>
                <w:tab w:val="left" w:pos="1276"/>
              </w:tabs>
              <w:autoSpaceDE w:val="0"/>
              <w:autoSpaceDN w:val="0"/>
              <w:adjustRightInd w:val="0"/>
              <w:spacing w:after="0" w:line="360" w:lineRule="auto"/>
              <w:jc w:val="center"/>
              <w:rPr>
                <w:rFonts w:hint="default" w:ascii="Cambria" w:hAnsi="Cambria" w:eastAsia="Times New Roman" w:cs="Cambria"/>
                <w:b/>
                <w:bCs w:val="0"/>
                <w:sz w:val="22"/>
                <w:szCs w:val="22"/>
                <w:lang w:val="id-ID" w:eastAsia="id-ID"/>
              </w:rPr>
            </w:pPr>
            <w:r>
              <w:rPr>
                <w:rFonts w:hint="default" w:ascii="Cambria" w:hAnsi="Cambria" w:eastAsia="Times New Roman" w:cs="Cambria"/>
                <w:b w:val="0"/>
                <w:bCs/>
                <w:sz w:val="22"/>
                <w:szCs w:val="22"/>
                <w:lang w:val="id-ID" w:eastAsia="id-ID"/>
              </w:rPr>
              <w:t>3</w:t>
            </w:r>
          </w:p>
        </w:tc>
        <w:tc>
          <w:tcPr>
            <w:tcW w:w="1905" w:type="dxa"/>
          </w:tcPr>
          <w:p>
            <w:pPr>
              <w:tabs>
                <w:tab w:val="left" w:pos="1276"/>
              </w:tabs>
              <w:autoSpaceDE w:val="0"/>
              <w:autoSpaceDN w:val="0"/>
              <w:adjustRightInd w:val="0"/>
              <w:spacing w:after="0" w:line="360" w:lineRule="auto"/>
              <w:jc w:val="both"/>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D.III</w:t>
            </w:r>
          </w:p>
        </w:tc>
        <w:tc>
          <w:tcPr>
            <w:tcW w:w="124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2 Org</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2</w:t>
            </w:r>
            <w:r>
              <w:rPr>
                <w:rFonts w:hint="default" w:ascii="Cambria" w:hAnsi="Cambria" w:eastAsia="Times New Roman" w:cs="Cambria"/>
                <w:sz w:val="22"/>
                <w:szCs w:val="22"/>
                <w:lang w:val="id-ID" w:eastAsia="id-ID"/>
              </w:rPr>
              <w:t xml:space="preserve"> Org</w:t>
            </w:r>
          </w:p>
        </w:tc>
        <w:tc>
          <w:tcPr>
            <w:tcW w:w="1417"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eastAsia="id-ID"/>
              </w:rPr>
              <w:t>4</w:t>
            </w:r>
            <w:r>
              <w:rPr>
                <w:rFonts w:hint="default" w:ascii="Cambria" w:hAnsi="Cambria" w:eastAsia="Times New Roman" w:cs="Cambria"/>
                <w:sz w:val="22"/>
                <w:szCs w:val="22"/>
                <w:lang w:val="id-ID" w:eastAsia="id-ID"/>
              </w:rPr>
              <w:t xml:space="preserve"> Org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380" w:hRule="atLeast"/>
        </w:trPr>
        <w:tc>
          <w:tcPr>
            <w:tcW w:w="809" w:type="dxa"/>
          </w:tcPr>
          <w:p>
            <w:pPr>
              <w:tabs>
                <w:tab w:val="left" w:pos="1276"/>
              </w:tabs>
              <w:autoSpaceDE w:val="0"/>
              <w:autoSpaceDN w:val="0"/>
              <w:adjustRightInd w:val="0"/>
              <w:spacing w:after="0" w:line="360" w:lineRule="auto"/>
              <w:jc w:val="center"/>
              <w:rPr>
                <w:rFonts w:hint="default" w:ascii="Cambria" w:hAnsi="Cambria" w:eastAsia="Times New Roman" w:cs="Cambria"/>
                <w:b/>
                <w:bCs w:val="0"/>
                <w:sz w:val="22"/>
                <w:szCs w:val="22"/>
                <w:lang w:eastAsia="id-ID"/>
              </w:rPr>
            </w:pPr>
            <w:r>
              <w:rPr>
                <w:rFonts w:hint="default" w:ascii="Cambria" w:hAnsi="Cambria" w:eastAsia="Times New Roman" w:cs="Cambria"/>
                <w:b w:val="0"/>
                <w:bCs/>
                <w:sz w:val="22"/>
                <w:szCs w:val="22"/>
                <w:lang w:eastAsia="id-ID"/>
              </w:rPr>
              <w:t>4</w:t>
            </w:r>
          </w:p>
        </w:tc>
        <w:tc>
          <w:tcPr>
            <w:tcW w:w="1905" w:type="dxa"/>
          </w:tcPr>
          <w:p>
            <w:pPr>
              <w:tabs>
                <w:tab w:val="left" w:pos="1276"/>
              </w:tabs>
              <w:autoSpaceDE w:val="0"/>
              <w:autoSpaceDN w:val="0"/>
              <w:adjustRightInd w:val="0"/>
              <w:spacing w:after="0" w:line="360" w:lineRule="auto"/>
              <w:jc w:val="both"/>
              <w:rPr>
                <w:rFonts w:hint="default" w:ascii="Cambria" w:hAnsi="Cambria" w:eastAsia="Times New Roman" w:cs="Cambria"/>
                <w:sz w:val="22"/>
                <w:szCs w:val="22"/>
                <w:lang w:eastAsia="id-ID"/>
              </w:rPr>
            </w:pPr>
            <w:r>
              <w:rPr>
                <w:rFonts w:hint="default" w:ascii="Cambria" w:hAnsi="Cambria" w:eastAsia="Times New Roman" w:cs="Cambria"/>
                <w:sz w:val="22"/>
                <w:szCs w:val="22"/>
                <w:lang w:eastAsia="id-ID"/>
              </w:rPr>
              <w:t>D.II</w:t>
            </w:r>
          </w:p>
        </w:tc>
        <w:tc>
          <w:tcPr>
            <w:tcW w:w="124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eastAsia="id-ID"/>
              </w:rPr>
            </w:pPr>
            <w:r>
              <w:rPr>
                <w:rFonts w:hint="default" w:ascii="Cambria" w:hAnsi="Cambria" w:eastAsia="Times New Roman" w:cs="Cambria"/>
                <w:sz w:val="22"/>
                <w:szCs w:val="22"/>
                <w:lang w:eastAsia="id-ID"/>
              </w:rPr>
              <w:t>-</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eastAsia="id-ID"/>
              </w:rPr>
            </w:pPr>
            <w:r>
              <w:rPr>
                <w:rFonts w:hint="default" w:ascii="Cambria" w:hAnsi="Cambria" w:eastAsia="Times New Roman" w:cs="Cambria"/>
                <w:sz w:val="22"/>
                <w:szCs w:val="22"/>
                <w:lang w:eastAsia="id-ID"/>
              </w:rPr>
              <w:t>4 Org</w:t>
            </w:r>
          </w:p>
        </w:tc>
        <w:tc>
          <w:tcPr>
            <w:tcW w:w="1417"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eastAsia="id-ID"/>
              </w:rPr>
            </w:pPr>
            <w:r>
              <w:rPr>
                <w:rFonts w:hint="default" w:ascii="Cambria" w:hAnsi="Cambria" w:eastAsia="Times New Roman" w:cs="Cambria"/>
                <w:sz w:val="22"/>
                <w:szCs w:val="22"/>
                <w:lang w:eastAsia="id-ID"/>
              </w:rPr>
              <w:t>4 Org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358" w:hRule="atLeast"/>
        </w:trPr>
        <w:tc>
          <w:tcPr>
            <w:tcW w:w="809" w:type="dxa"/>
          </w:tcPr>
          <w:p>
            <w:pPr>
              <w:tabs>
                <w:tab w:val="left" w:pos="1276"/>
              </w:tabs>
              <w:autoSpaceDE w:val="0"/>
              <w:autoSpaceDN w:val="0"/>
              <w:adjustRightInd w:val="0"/>
              <w:spacing w:after="0" w:line="360" w:lineRule="auto"/>
              <w:jc w:val="center"/>
              <w:rPr>
                <w:rFonts w:hint="default" w:ascii="Cambria" w:hAnsi="Cambria" w:eastAsia="Times New Roman" w:cs="Cambria"/>
                <w:b/>
                <w:bCs w:val="0"/>
                <w:sz w:val="22"/>
                <w:szCs w:val="22"/>
                <w:lang w:eastAsia="id-ID"/>
              </w:rPr>
            </w:pPr>
            <w:r>
              <w:rPr>
                <w:rFonts w:hint="default" w:ascii="Cambria" w:hAnsi="Cambria" w:eastAsia="Times New Roman" w:cs="Cambria"/>
                <w:b w:val="0"/>
                <w:bCs/>
                <w:sz w:val="22"/>
                <w:szCs w:val="22"/>
                <w:lang w:eastAsia="id-ID"/>
              </w:rPr>
              <w:t>5</w:t>
            </w:r>
          </w:p>
        </w:tc>
        <w:tc>
          <w:tcPr>
            <w:tcW w:w="1905" w:type="dxa"/>
          </w:tcPr>
          <w:p>
            <w:pPr>
              <w:tabs>
                <w:tab w:val="left" w:pos="1276"/>
              </w:tabs>
              <w:autoSpaceDE w:val="0"/>
              <w:autoSpaceDN w:val="0"/>
              <w:adjustRightInd w:val="0"/>
              <w:spacing w:after="0" w:line="360" w:lineRule="auto"/>
              <w:jc w:val="both"/>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SMA</w:t>
            </w:r>
          </w:p>
        </w:tc>
        <w:tc>
          <w:tcPr>
            <w:tcW w:w="124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7 Org</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2</w:t>
            </w:r>
            <w:r>
              <w:rPr>
                <w:rFonts w:hint="default" w:ascii="Cambria" w:hAnsi="Cambria" w:eastAsia="Times New Roman" w:cs="Cambria"/>
                <w:sz w:val="22"/>
                <w:szCs w:val="22"/>
                <w:lang w:eastAsia="id-ID"/>
              </w:rPr>
              <w:t>8</w:t>
            </w:r>
            <w:r>
              <w:rPr>
                <w:rFonts w:hint="default" w:ascii="Cambria" w:hAnsi="Cambria" w:eastAsia="Times New Roman" w:cs="Cambria"/>
                <w:sz w:val="22"/>
                <w:szCs w:val="22"/>
                <w:lang w:val="id-ID" w:eastAsia="id-ID"/>
              </w:rPr>
              <w:t xml:space="preserve"> Org</w:t>
            </w:r>
          </w:p>
        </w:tc>
        <w:tc>
          <w:tcPr>
            <w:tcW w:w="1417"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val="id-ID" w:eastAsia="id-ID"/>
              </w:rPr>
            </w:pPr>
            <w:r>
              <w:rPr>
                <w:rFonts w:hint="default" w:ascii="Cambria" w:hAnsi="Cambria" w:eastAsia="Times New Roman" w:cs="Cambria"/>
                <w:sz w:val="22"/>
                <w:szCs w:val="22"/>
                <w:lang w:val="id-ID" w:eastAsia="id-ID"/>
              </w:rPr>
              <w:t>3</w:t>
            </w:r>
            <w:r>
              <w:rPr>
                <w:rFonts w:hint="default" w:ascii="Cambria" w:hAnsi="Cambria" w:eastAsia="Times New Roman" w:cs="Cambria"/>
                <w:sz w:val="22"/>
                <w:szCs w:val="22"/>
                <w:lang w:eastAsia="id-ID"/>
              </w:rPr>
              <w:t>5</w:t>
            </w:r>
            <w:r>
              <w:rPr>
                <w:rFonts w:hint="default" w:ascii="Cambria" w:hAnsi="Cambria" w:eastAsia="Times New Roman" w:cs="Cambria"/>
                <w:sz w:val="22"/>
                <w:szCs w:val="22"/>
                <w:lang w:val="id-ID" w:eastAsia="id-ID"/>
              </w:rPr>
              <w:t xml:space="preserve"> Org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358" w:hRule="atLeast"/>
        </w:trPr>
        <w:tc>
          <w:tcPr>
            <w:tcW w:w="809" w:type="dxa"/>
          </w:tcPr>
          <w:p>
            <w:pPr>
              <w:tabs>
                <w:tab w:val="left" w:pos="1276"/>
              </w:tabs>
              <w:autoSpaceDE w:val="0"/>
              <w:autoSpaceDN w:val="0"/>
              <w:adjustRightInd w:val="0"/>
              <w:spacing w:after="0" w:line="360" w:lineRule="auto"/>
              <w:jc w:val="center"/>
              <w:rPr>
                <w:rFonts w:hint="default" w:ascii="Cambria" w:hAnsi="Cambria" w:eastAsia="Times New Roman" w:cs="Cambria"/>
                <w:b/>
                <w:bCs w:val="0"/>
                <w:sz w:val="22"/>
                <w:szCs w:val="22"/>
                <w:lang w:eastAsia="id-ID"/>
              </w:rPr>
            </w:pPr>
            <w:r>
              <w:rPr>
                <w:rFonts w:hint="default" w:ascii="Cambria" w:hAnsi="Cambria" w:eastAsia="Times New Roman" w:cs="Cambria"/>
                <w:b w:val="0"/>
                <w:bCs/>
                <w:sz w:val="22"/>
                <w:szCs w:val="22"/>
                <w:lang w:eastAsia="id-ID"/>
              </w:rPr>
              <w:t>6</w:t>
            </w:r>
          </w:p>
        </w:tc>
        <w:tc>
          <w:tcPr>
            <w:tcW w:w="1905" w:type="dxa"/>
          </w:tcPr>
          <w:p>
            <w:pPr>
              <w:tabs>
                <w:tab w:val="left" w:pos="1276"/>
              </w:tabs>
              <w:autoSpaceDE w:val="0"/>
              <w:autoSpaceDN w:val="0"/>
              <w:adjustRightInd w:val="0"/>
              <w:spacing w:after="0" w:line="360" w:lineRule="auto"/>
              <w:jc w:val="both"/>
              <w:rPr>
                <w:rFonts w:hint="default" w:ascii="Cambria" w:hAnsi="Cambria" w:eastAsia="Times New Roman" w:cs="Cambria"/>
                <w:sz w:val="22"/>
                <w:szCs w:val="22"/>
                <w:lang w:eastAsia="id-ID"/>
              </w:rPr>
            </w:pPr>
            <w:r>
              <w:rPr>
                <w:rFonts w:hint="default" w:ascii="Cambria" w:hAnsi="Cambria" w:eastAsia="Times New Roman" w:cs="Cambria"/>
                <w:sz w:val="22"/>
                <w:szCs w:val="22"/>
                <w:lang w:eastAsia="id-ID"/>
              </w:rPr>
              <w:t>SMP</w:t>
            </w:r>
          </w:p>
        </w:tc>
        <w:tc>
          <w:tcPr>
            <w:tcW w:w="124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eastAsia="id-ID"/>
              </w:rPr>
            </w:pPr>
            <w:r>
              <w:rPr>
                <w:rFonts w:hint="default" w:ascii="Cambria" w:hAnsi="Cambria" w:eastAsia="Times New Roman" w:cs="Cambria"/>
                <w:sz w:val="22"/>
                <w:szCs w:val="22"/>
                <w:lang w:eastAsia="id-ID"/>
              </w:rPr>
              <w:t>-</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eastAsia="id-ID"/>
              </w:rPr>
            </w:pPr>
            <w:r>
              <w:rPr>
                <w:rFonts w:hint="default" w:ascii="Cambria" w:hAnsi="Cambria" w:eastAsia="Times New Roman" w:cs="Cambria"/>
                <w:sz w:val="22"/>
                <w:szCs w:val="22"/>
                <w:lang w:eastAsia="id-ID"/>
              </w:rPr>
              <w:t>1 Org</w:t>
            </w:r>
          </w:p>
        </w:tc>
        <w:tc>
          <w:tcPr>
            <w:tcW w:w="1417" w:type="dxa"/>
          </w:tcPr>
          <w:p>
            <w:pPr>
              <w:tabs>
                <w:tab w:val="left" w:pos="1276"/>
              </w:tabs>
              <w:autoSpaceDE w:val="0"/>
              <w:autoSpaceDN w:val="0"/>
              <w:adjustRightInd w:val="0"/>
              <w:spacing w:after="0" w:line="360" w:lineRule="auto"/>
              <w:jc w:val="center"/>
              <w:rPr>
                <w:rFonts w:hint="default" w:ascii="Cambria" w:hAnsi="Cambria" w:eastAsia="Times New Roman" w:cs="Cambria"/>
                <w:sz w:val="22"/>
                <w:szCs w:val="22"/>
                <w:lang w:eastAsia="id-ID"/>
              </w:rPr>
            </w:pPr>
            <w:r>
              <w:rPr>
                <w:rFonts w:hint="default" w:ascii="Cambria" w:hAnsi="Cambria" w:eastAsia="Times New Roman" w:cs="Cambria"/>
                <w:sz w:val="22"/>
                <w:szCs w:val="22"/>
                <w:lang w:eastAsia="id-ID"/>
              </w:rPr>
              <w:t>1 Org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c>
          <w:tcPr>
            <w:tcW w:w="809" w:type="dxa"/>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2"/>
                <w:szCs w:val="22"/>
                <w:lang w:val="id-ID" w:eastAsia="id-ID"/>
              </w:rPr>
            </w:pPr>
          </w:p>
        </w:tc>
        <w:tc>
          <w:tcPr>
            <w:tcW w:w="1905" w:type="dxa"/>
          </w:tcPr>
          <w:p>
            <w:pPr>
              <w:tabs>
                <w:tab w:val="left" w:pos="1276"/>
              </w:tabs>
              <w:autoSpaceDE w:val="0"/>
              <w:autoSpaceDN w:val="0"/>
              <w:adjustRightInd w:val="0"/>
              <w:spacing w:after="0" w:line="360" w:lineRule="auto"/>
              <w:jc w:val="center"/>
              <w:rPr>
                <w:rFonts w:hint="default" w:ascii="Cambria" w:hAnsi="Cambria" w:eastAsia="Times New Roman" w:cs="Cambria"/>
                <w:b/>
                <w:sz w:val="22"/>
                <w:szCs w:val="22"/>
                <w:lang w:val="id-ID" w:eastAsia="id-ID"/>
              </w:rPr>
            </w:pPr>
            <w:r>
              <w:rPr>
                <w:rFonts w:hint="default" w:ascii="Cambria" w:hAnsi="Cambria" w:eastAsia="Times New Roman" w:cs="Cambria"/>
                <w:b/>
                <w:sz w:val="22"/>
                <w:szCs w:val="22"/>
                <w:lang w:val="id-ID" w:eastAsia="id-ID"/>
              </w:rPr>
              <w:t>Total</w:t>
            </w:r>
          </w:p>
        </w:tc>
        <w:tc>
          <w:tcPr>
            <w:tcW w:w="1246" w:type="dxa"/>
          </w:tcPr>
          <w:p>
            <w:pPr>
              <w:tabs>
                <w:tab w:val="left" w:pos="1276"/>
              </w:tabs>
              <w:autoSpaceDE w:val="0"/>
              <w:autoSpaceDN w:val="0"/>
              <w:adjustRightInd w:val="0"/>
              <w:spacing w:after="0" w:line="360" w:lineRule="auto"/>
              <w:jc w:val="center"/>
              <w:rPr>
                <w:rFonts w:hint="default" w:ascii="Cambria" w:hAnsi="Cambria" w:eastAsia="Times New Roman" w:cs="Cambria"/>
                <w:b/>
                <w:sz w:val="22"/>
                <w:szCs w:val="22"/>
                <w:lang w:val="id-ID" w:eastAsia="id-ID"/>
              </w:rPr>
            </w:pPr>
            <w:r>
              <w:rPr>
                <w:rFonts w:hint="default" w:ascii="Cambria" w:hAnsi="Cambria" w:eastAsia="Times New Roman" w:cs="Cambria"/>
                <w:b/>
                <w:sz w:val="22"/>
                <w:szCs w:val="22"/>
                <w:lang w:val="id-ID" w:eastAsia="id-ID"/>
              </w:rPr>
              <w:t>3</w:t>
            </w:r>
            <w:r>
              <w:rPr>
                <w:rFonts w:hint="default" w:ascii="Cambria" w:hAnsi="Cambria" w:eastAsia="Times New Roman" w:cs="Cambria"/>
                <w:b/>
                <w:sz w:val="22"/>
                <w:szCs w:val="22"/>
                <w:lang w:eastAsia="id-ID"/>
              </w:rPr>
              <w:t>3</w:t>
            </w:r>
            <w:r>
              <w:rPr>
                <w:rFonts w:hint="default" w:ascii="Cambria" w:hAnsi="Cambria" w:eastAsia="Times New Roman" w:cs="Cambria"/>
                <w:b/>
                <w:sz w:val="22"/>
                <w:szCs w:val="22"/>
                <w:lang w:val="id-ID" w:eastAsia="id-ID"/>
              </w:rPr>
              <w:t xml:space="preserve"> Org</w:t>
            </w:r>
          </w:p>
        </w:tc>
        <w:tc>
          <w:tcPr>
            <w:tcW w:w="1276" w:type="dxa"/>
          </w:tcPr>
          <w:p>
            <w:pPr>
              <w:tabs>
                <w:tab w:val="left" w:pos="1276"/>
              </w:tabs>
              <w:autoSpaceDE w:val="0"/>
              <w:autoSpaceDN w:val="0"/>
              <w:adjustRightInd w:val="0"/>
              <w:spacing w:after="0" w:line="360" w:lineRule="auto"/>
              <w:jc w:val="center"/>
              <w:rPr>
                <w:rFonts w:hint="default" w:ascii="Cambria" w:hAnsi="Cambria" w:eastAsia="Times New Roman" w:cs="Cambria"/>
                <w:b/>
                <w:sz w:val="22"/>
                <w:szCs w:val="22"/>
                <w:lang w:val="id-ID" w:eastAsia="id-ID"/>
              </w:rPr>
            </w:pPr>
            <w:r>
              <w:rPr>
                <w:rFonts w:hint="default" w:ascii="Cambria" w:hAnsi="Cambria" w:eastAsia="Times New Roman" w:cs="Cambria"/>
                <w:b/>
                <w:sz w:val="22"/>
                <w:szCs w:val="22"/>
                <w:lang w:eastAsia="id-ID"/>
              </w:rPr>
              <w:t>6</w:t>
            </w:r>
            <w:r>
              <w:rPr>
                <w:rFonts w:hint="default" w:ascii="Cambria" w:hAnsi="Cambria" w:eastAsia="Times New Roman" w:cs="Cambria"/>
                <w:b/>
                <w:sz w:val="22"/>
                <w:szCs w:val="22"/>
                <w:lang w:val="id-ID" w:eastAsia="id-ID"/>
              </w:rPr>
              <w:t>1 Org</w:t>
            </w:r>
          </w:p>
        </w:tc>
        <w:tc>
          <w:tcPr>
            <w:tcW w:w="1417" w:type="dxa"/>
          </w:tcPr>
          <w:p>
            <w:pPr>
              <w:tabs>
                <w:tab w:val="left" w:pos="1276"/>
              </w:tabs>
              <w:autoSpaceDE w:val="0"/>
              <w:autoSpaceDN w:val="0"/>
              <w:adjustRightInd w:val="0"/>
              <w:spacing w:after="0" w:line="360" w:lineRule="auto"/>
              <w:jc w:val="center"/>
              <w:rPr>
                <w:rFonts w:hint="default" w:ascii="Cambria" w:hAnsi="Cambria" w:eastAsia="Times New Roman" w:cs="Cambria"/>
                <w:b/>
                <w:sz w:val="22"/>
                <w:szCs w:val="22"/>
                <w:lang w:val="id-ID" w:eastAsia="id-ID"/>
              </w:rPr>
            </w:pPr>
            <w:r>
              <w:rPr>
                <w:rFonts w:hint="default" w:ascii="Cambria" w:hAnsi="Cambria" w:eastAsia="Times New Roman" w:cs="Cambria"/>
                <w:b/>
                <w:sz w:val="22"/>
                <w:szCs w:val="22"/>
                <w:lang w:eastAsia="id-ID"/>
              </w:rPr>
              <w:t>94</w:t>
            </w:r>
            <w:r>
              <w:rPr>
                <w:rFonts w:hint="default" w:ascii="Cambria" w:hAnsi="Cambria" w:eastAsia="Times New Roman" w:cs="Cambria"/>
                <w:b/>
                <w:sz w:val="22"/>
                <w:szCs w:val="22"/>
                <w:lang w:val="id-ID" w:eastAsia="id-ID"/>
              </w:rPr>
              <w:t xml:space="preserve"> Org</w:t>
            </w:r>
          </w:p>
        </w:tc>
      </w:tr>
    </w:tbl>
    <w:p>
      <w:pPr>
        <w:pStyle w:val="13"/>
        <w:numPr>
          <w:ilvl w:val="0"/>
          <w:numId w:val="8"/>
        </w:numPr>
        <w:shd w:val="clear" w:color="auto" w:fill="FFFFFF" w:themeFill="background1"/>
        <w:spacing w:line="360" w:lineRule="auto"/>
        <w:ind w:left="1701" w:hanging="567"/>
        <w:jc w:val="both"/>
        <w:rPr>
          <w:rFonts w:hint="default" w:ascii="Cambria" w:hAnsi="Cambria" w:cs="Cambria"/>
          <w:b/>
          <w:sz w:val="24"/>
          <w:szCs w:val="24"/>
        </w:rPr>
      </w:pPr>
      <w:r>
        <w:rPr>
          <w:rFonts w:hint="default" w:ascii="Cambria" w:hAnsi="Cambria" w:cs="Cambria"/>
          <w:sz w:val="24"/>
          <w:szCs w:val="24"/>
        </w:rPr>
        <w:t>Data Pegawai Berdasarkan Tingkat Pendidikan</w:t>
      </w:r>
    </w:p>
    <w:p>
      <w:pPr>
        <w:pStyle w:val="13"/>
        <w:shd w:val="clear" w:color="auto" w:fill="FFFFFF" w:themeFill="background1"/>
        <w:spacing w:line="360" w:lineRule="auto"/>
        <w:ind w:left="1701"/>
        <w:jc w:val="both"/>
        <w:rPr>
          <w:rFonts w:hint="default" w:ascii="Cambria" w:hAnsi="Cambria" w:cs="Cambria"/>
          <w:b/>
          <w:sz w:val="24"/>
          <w:szCs w:val="24"/>
        </w:rPr>
      </w:pPr>
    </w:p>
    <w:p>
      <w:pPr>
        <w:shd w:val="clear" w:color="auto" w:fill="FFFFFF" w:themeFill="background1"/>
        <w:spacing w:line="360" w:lineRule="auto"/>
        <w:jc w:val="both"/>
        <w:rPr>
          <w:rFonts w:hint="default" w:ascii="Cambria" w:hAnsi="Cambria" w:cs="Cambria"/>
          <w:b/>
          <w:sz w:val="24"/>
          <w:szCs w:val="24"/>
        </w:rPr>
      </w:pPr>
    </w:p>
    <w:p>
      <w:pPr>
        <w:shd w:val="clear" w:color="auto" w:fill="FFFFFF" w:themeFill="background1"/>
        <w:spacing w:line="360" w:lineRule="auto"/>
        <w:jc w:val="both"/>
        <w:rPr>
          <w:rFonts w:hint="default" w:ascii="Cambria" w:hAnsi="Cambria" w:cs="Cambria"/>
          <w:b/>
          <w:sz w:val="24"/>
          <w:szCs w:val="24"/>
        </w:rPr>
      </w:pPr>
    </w:p>
    <w:p>
      <w:pPr>
        <w:shd w:val="clear" w:color="auto" w:fill="FFFFFF" w:themeFill="background1"/>
        <w:spacing w:line="360" w:lineRule="auto"/>
        <w:jc w:val="both"/>
        <w:rPr>
          <w:rFonts w:hint="default" w:ascii="Cambria" w:hAnsi="Cambria" w:cs="Cambria"/>
          <w:b/>
          <w:sz w:val="24"/>
          <w:szCs w:val="24"/>
        </w:rPr>
      </w:pPr>
    </w:p>
    <w:p>
      <w:pPr>
        <w:shd w:val="clear" w:color="auto" w:fill="FFFFFF" w:themeFill="background1"/>
        <w:spacing w:line="360" w:lineRule="auto"/>
        <w:jc w:val="both"/>
        <w:rPr>
          <w:rFonts w:hint="default" w:ascii="Cambria" w:hAnsi="Cambria" w:cs="Cambria"/>
          <w:b/>
          <w:sz w:val="24"/>
          <w:szCs w:val="24"/>
        </w:rPr>
      </w:pPr>
    </w:p>
    <w:p>
      <w:pPr>
        <w:shd w:val="clear" w:color="auto" w:fill="FFFFFF" w:themeFill="background1"/>
        <w:spacing w:line="360" w:lineRule="auto"/>
        <w:jc w:val="both"/>
        <w:rPr>
          <w:rFonts w:hint="default" w:ascii="Cambria" w:hAnsi="Cambria" w:cs="Cambria"/>
          <w:b/>
          <w:sz w:val="24"/>
          <w:szCs w:val="24"/>
        </w:rPr>
      </w:pPr>
    </w:p>
    <w:p>
      <w:pPr>
        <w:shd w:val="clear" w:color="auto" w:fill="FFFFFF" w:themeFill="background1"/>
        <w:spacing w:line="360" w:lineRule="auto"/>
        <w:jc w:val="both"/>
        <w:rPr>
          <w:rFonts w:hint="default" w:ascii="Cambria" w:hAnsi="Cambria" w:cs="Cambria"/>
          <w:b/>
          <w:sz w:val="8"/>
          <w:szCs w:val="8"/>
        </w:rPr>
      </w:pPr>
    </w:p>
    <w:p>
      <w:pPr>
        <w:pStyle w:val="13"/>
        <w:numPr>
          <w:ilvl w:val="0"/>
          <w:numId w:val="8"/>
        </w:numPr>
        <w:shd w:val="clear" w:color="auto" w:fill="FFFFFF" w:themeFill="background1"/>
        <w:spacing w:line="360" w:lineRule="auto"/>
        <w:ind w:left="1701" w:hanging="567"/>
        <w:jc w:val="both"/>
        <w:rPr>
          <w:rFonts w:hint="default" w:ascii="Cambria" w:hAnsi="Cambria" w:cs="Cambria"/>
          <w:b/>
          <w:sz w:val="24"/>
          <w:szCs w:val="24"/>
        </w:rPr>
      </w:pPr>
      <w:r>
        <w:rPr>
          <w:rFonts w:hint="default" w:ascii="Cambria" w:hAnsi="Cambria" w:cs="Cambria"/>
          <w:sz w:val="24"/>
          <w:szCs w:val="24"/>
        </w:rPr>
        <w:t>Data Pegawai Berdasarkan Diklat/Penjenjangan</w:t>
      </w:r>
    </w:p>
    <w:tbl>
      <w:tblPr>
        <w:tblStyle w:val="21"/>
        <w:tblpPr w:leftFromText="180" w:rightFromText="180" w:vertAnchor="text" w:horzAnchor="margin" w:tblpXSpec="right" w:tblpY="51"/>
        <w:tblW w:w="8249" w:type="dxa"/>
        <w:tblInd w:w="0" w:type="dxa"/>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Layout w:type="autofit"/>
        <w:tblCellMar>
          <w:top w:w="0" w:type="dxa"/>
          <w:left w:w="108" w:type="dxa"/>
          <w:bottom w:w="0" w:type="dxa"/>
          <w:right w:w="108" w:type="dxa"/>
        </w:tblCellMar>
      </w:tblPr>
      <w:tblGrid>
        <w:gridCol w:w="704"/>
        <w:gridCol w:w="2693"/>
        <w:gridCol w:w="1180"/>
        <w:gridCol w:w="1215"/>
        <w:gridCol w:w="1170"/>
        <w:gridCol w:w="1287"/>
      </w:tblGrid>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664" w:hRule="atLeast"/>
        </w:trPr>
        <w:tc>
          <w:tcPr>
            <w:tcW w:w="704" w:type="dxa"/>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0"/>
                <w:szCs w:val="20"/>
                <w:lang w:val="id-ID" w:eastAsia="id-ID"/>
              </w:rPr>
            </w:pPr>
          </w:p>
          <w:p>
            <w:pPr>
              <w:tabs>
                <w:tab w:val="left" w:pos="1276"/>
              </w:tabs>
              <w:autoSpaceDE w:val="0"/>
              <w:autoSpaceDN w:val="0"/>
              <w:adjustRightInd w:val="0"/>
              <w:spacing w:after="0" w:line="360" w:lineRule="auto"/>
              <w:jc w:val="center"/>
              <w:rPr>
                <w:rFonts w:hint="default" w:ascii="Cambria" w:hAnsi="Cambria" w:eastAsia="Times New Roman" w:cs="Cambria"/>
                <w:b w:val="0"/>
                <w:bCs w:val="0"/>
                <w:sz w:val="20"/>
                <w:szCs w:val="20"/>
                <w:lang w:val="id-ID" w:eastAsia="id-ID"/>
              </w:rPr>
            </w:pPr>
            <w:r>
              <w:rPr>
                <w:rFonts w:hint="default" w:ascii="Cambria" w:hAnsi="Cambria" w:eastAsia="Times New Roman" w:cs="Cambria"/>
                <w:b/>
                <w:bCs/>
                <w:sz w:val="20"/>
                <w:szCs w:val="20"/>
                <w:lang w:val="id-ID" w:eastAsia="id-ID"/>
              </w:rPr>
              <w:t>No</w:t>
            </w:r>
          </w:p>
        </w:tc>
        <w:tc>
          <w:tcPr>
            <w:tcW w:w="2693" w:type="dxa"/>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0"/>
                <w:szCs w:val="20"/>
                <w:lang w:val="id-ID" w:eastAsia="en-GB"/>
              </w:rPr>
            </w:pPr>
          </w:p>
          <w:p>
            <w:pPr>
              <w:tabs>
                <w:tab w:val="left" w:pos="1276"/>
              </w:tabs>
              <w:autoSpaceDE w:val="0"/>
              <w:autoSpaceDN w:val="0"/>
              <w:adjustRightInd w:val="0"/>
              <w:spacing w:after="0" w:line="360" w:lineRule="auto"/>
              <w:jc w:val="center"/>
              <w:rPr>
                <w:rFonts w:hint="default" w:ascii="Cambria" w:hAnsi="Cambria" w:eastAsia="Times New Roman" w:cs="Cambria"/>
                <w:b w:val="0"/>
                <w:bCs w:val="0"/>
                <w:sz w:val="20"/>
                <w:szCs w:val="20"/>
                <w:lang w:val="id-ID" w:eastAsia="id-ID"/>
              </w:rPr>
            </w:pPr>
            <w:r>
              <w:rPr>
                <w:rFonts w:hint="default" w:ascii="Cambria" w:hAnsi="Cambria" w:eastAsia="Times New Roman" w:cs="Cambria"/>
                <w:b/>
                <w:bCs/>
                <w:sz w:val="20"/>
                <w:szCs w:val="20"/>
                <w:lang w:val="id-ID" w:eastAsia="en-GB"/>
              </w:rPr>
              <w:t>Dinas/Bidang/Seksi</w:t>
            </w:r>
          </w:p>
        </w:tc>
        <w:tc>
          <w:tcPr>
            <w:tcW w:w="3565" w:type="dxa"/>
            <w:gridSpan w:val="3"/>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0"/>
                <w:szCs w:val="20"/>
                <w:lang w:eastAsia="en-GB"/>
              </w:rPr>
            </w:pPr>
            <w:r>
              <w:rPr>
                <w:rFonts w:hint="default" w:ascii="Cambria" w:hAnsi="Cambria" w:eastAsia="Times New Roman" w:cs="Cambria"/>
                <w:b/>
                <w:bCs/>
                <w:sz w:val="20"/>
                <w:szCs w:val="20"/>
                <w:lang w:eastAsia="en-GB"/>
              </w:rPr>
              <w:t>Diklat / Penjenjangan</w:t>
            </w:r>
          </w:p>
          <w:p>
            <w:pPr>
              <w:tabs>
                <w:tab w:val="left" w:pos="1276"/>
              </w:tabs>
              <w:autoSpaceDE w:val="0"/>
              <w:autoSpaceDN w:val="0"/>
              <w:adjustRightInd w:val="0"/>
              <w:spacing w:after="0" w:line="360" w:lineRule="auto"/>
              <w:rPr>
                <w:rFonts w:hint="default" w:ascii="Cambria" w:hAnsi="Cambria" w:eastAsia="Times New Roman" w:cs="Cambria"/>
                <w:b w:val="0"/>
                <w:bCs w:val="0"/>
                <w:sz w:val="20"/>
                <w:szCs w:val="20"/>
                <w:lang w:eastAsia="id-ID"/>
              </w:rPr>
            </w:pPr>
            <w:r>
              <w:rPr>
                <w:rFonts w:hint="default" w:ascii="Cambria" w:hAnsi="Cambria" w:eastAsia="Times New Roman" w:cs="Cambria"/>
                <w:b/>
                <w:bCs/>
                <w:sz w:val="20"/>
                <w:szCs w:val="20"/>
                <w:lang w:val="id-ID" w:eastAsia="id-ID"/>
              </w:rPr>
              <w:t xml:space="preserve">  </w:t>
            </w:r>
            <w:r>
              <w:rPr>
                <w:rFonts w:hint="default" w:ascii="Cambria" w:hAnsi="Cambria" w:eastAsia="Times New Roman" w:cs="Cambria"/>
                <w:b/>
                <w:bCs/>
                <w:sz w:val="20"/>
                <w:szCs w:val="20"/>
                <w:lang w:eastAsia="id-ID"/>
              </w:rPr>
              <w:t xml:space="preserve">  </w:t>
            </w:r>
            <w:r>
              <w:rPr>
                <w:rFonts w:hint="default" w:ascii="Cambria" w:hAnsi="Cambria" w:eastAsia="Times New Roman" w:cs="Cambria"/>
                <w:b/>
                <w:bCs/>
                <w:sz w:val="20"/>
                <w:szCs w:val="20"/>
                <w:lang w:val="id-ID" w:eastAsia="id-ID"/>
              </w:rPr>
              <w:t xml:space="preserve">  </w:t>
            </w:r>
            <w:r>
              <w:rPr>
                <w:rFonts w:hint="default" w:ascii="Cambria" w:hAnsi="Cambria" w:eastAsia="Times New Roman" w:cs="Cambria"/>
                <w:b/>
                <w:bCs/>
                <w:sz w:val="20"/>
                <w:szCs w:val="20"/>
                <w:lang w:eastAsia="id-ID"/>
              </w:rPr>
              <w:t>I</w:t>
            </w:r>
            <w:r>
              <w:rPr>
                <w:rFonts w:hint="default" w:ascii="Cambria" w:hAnsi="Cambria" w:eastAsia="Times New Roman" w:cs="Cambria"/>
                <w:b/>
                <w:bCs/>
                <w:i/>
                <w:iCs/>
                <w:sz w:val="20"/>
                <w:szCs w:val="20"/>
                <w:lang w:eastAsia="id-ID"/>
              </w:rPr>
              <w:t>I</w:t>
            </w:r>
            <w:r>
              <w:rPr>
                <w:rFonts w:hint="default" w:ascii="Cambria" w:hAnsi="Cambria" w:eastAsia="Times New Roman" w:cs="Cambria"/>
                <w:b/>
                <w:bCs/>
                <w:sz w:val="20"/>
                <w:szCs w:val="20"/>
                <w:lang w:val="id-ID" w:eastAsia="id-ID"/>
              </w:rPr>
              <w:t xml:space="preserve">           </w:t>
            </w:r>
            <w:r>
              <w:rPr>
                <w:rFonts w:hint="default" w:ascii="Cambria" w:hAnsi="Cambria" w:eastAsia="Times New Roman" w:cs="Cambria"/>
                <w:b/>
                <w:bCs/>
                <w:sz w:val="20"/>
                <w:szCs w:val="20"/>
                <w:lang w:eastAsia="id-ID"/>
              </w:rPr>
              <w:t xml:space="preserve"> </w:t>
            </w:r>
            <w:r>
              <w:rPr>
                <w:rFonts w:hint="default" w:ascii="Cambria" w:hAnsi="Cambria" w:eastAsia="Times New Roman" w:cs="Cambria"/>
                <w:b/>
                <w:bCs/>
                <w:sz w:val="20"/>
                <w:szCs w:val="20"/>
                <w:lang w:val="id-ID" w:eastAsia="id-ID"/>
              </w:rPr>
              <w:t xml:space="preserve">  III        </w:t>
            </w:r>
            <w:r>
              <w:rPr>
                <w:rFonts w:hint="default" w:ascii="Cambria" w:hAnsi="Cambria" w:eastAsia="Times New Roman" w:cs="Cambria"/>
                <w:b/>
                <w:bCs/>
                <w:sz w:val="20"/>
                <w:szCs w:val="20"/>
                <w:lang w:eastAsia="id-ID"/>
              </w:rPr>
              <w:t xml:space="preserve"> </w:t>
            </w:r>
            <w:r>
              <w:rPr>
                <w:rFonts w:hint="default" w:ascii="Cambria" w:hAnsi="Cambria" w:eastAsia="Times New Roman" w:cs="Cambria"/>
                <w:b/>
                <w:bCs/>
                <w:sz w:val="20"/>
                <w:szCs w:val="20"/>
                <w:lang w:val="id-ID" w:eastAsia="id-ID"/>
              </w:rPr>
              <w:t xml:space="preserve">     </w:t>
            </w:r>
            <w:r>
              <w:rPr>
                <w:rFonts w:hint="default" w:ascii="Cambria" w:hAnsi="Cambria" w:eastAsia="Times New Roman" w:cs="Cambria"/>
                <w:b/>
                <w:bCs/>
                <w:sz w:val="20"/>
                <w:szCs w:val="20"/>
                <w:lang w:eastAsia="id-ID"/>
              </w:rPr>
              <w:t>IV</w:t>
            </w:r>
          </w:p>
        </w:tc>
        <w:tc>
          <w:tcPr>
            <w:tcW w:w="1287" w:type="dxa"/>
            <w:tcBorders>
              <w:bottom w:val="single" w:color="FABF8F" w:themeColor="accent6" w:themeTint="99" w:sz="12" w:space="0"/>
              <w:insideH w:val="single" w:sz="12" w:space="0"/>
            </w:tcBorders>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0"/>
                <w:szCs w:val="20"/>
                <w:lang w:val="id-ID" w:eastAsia="en-GB"/>
              </w:rPr>
            </w:pPr>
          </w:p>
          <w:p>
            <w:pPr>
              <w:tabs>
                <w:tab w:val="left" w:pos="1276"/>
              </w:tabs>
              <w:autoSpaceDE w:val="0"/>
              <w:autoSpaceDN w:val="0"/>
              <w:adjustRightInd w:val="0"/>
              <w:spacing w:after="0" w:line="360" w:lineRule="auto"/>
              <w:jc w:val="both"/>
              <w:rPr>
                <w:rFonts w:hint="default" w:ascii="Cambria" w:hAnsi="Cambria" w:eastAsia="Times New Roman" w:cs="Cambria"/>
                <w:b w:val="0"/>
                <w:bCs w:val="0"/>
                <w:sz w:val="20"/>
                <w:szCs w:val="20"/>
                <w:lang w:val="id-ID" w:eastAsia="id-ID"/>
              </w:rPr>
            </w:pPr>
            <w:r>
              <w:rPr>
                <w:rFonts w:hint="default" w:ascii="Cambria" w:hAnsi="Cambria" w:eastAsia="Times New Roman" w:cs="Cambria"/>
                <w:b/>
                <w:bCs/>
                <w:sz w:val="20"/>
                <w:szCs w:val="20"/>
                <w:lang w:val="id-ID" w:eastAsia="en-GB"/>
              </w:rPr>
              <w:t xml:space="preserve">   Jumlah</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516" w:hRule="atLeast"/>
        </w:trPr>
        <w:tc>
          <w:tcPr>
            <w:tcW w:w="704" w:type="dxa"/>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0"/>
                <w:szCs w:val="20"/>
                <w:lang w:val="id-ID" w:eastAsia="id-ID"/>
              </w:rPr>
            </w:pPr>
            <w:r>
              <w:rPr>
                <w:rFonts w:hint="default" w:ascii="Cambria" w:hAnsi="Cambria" w:eastAsia="Times New Roman" w:cs="Cambria"/>
                <w:b/>
                <w:bCs/>
                <w:sz w:val="20"/>
                <w:szCs w:val="20"/>
                <w:lang w:val="id-ID" w:eastAsia="id-ID"/>
              </w:rPr>
              <w:t>1</w:t>
            </w:r>
          </w:p>
        </w:tc>
        <w:tc>
          <w:tcPr>
            <w:tcW w:w="2693" w:type="dxa"/>
          </w:tcPr>
          <w:p>
            <w:pPr>
              <w:tabs>
                <w:tab w:val="left" w:pos="1276"/>
              </w:tabs>
              <w:autoSpaceDE w:val="0"/>
              <w:autoSpaceDN w:val="0"/>
              <w:adjustRightInd w:val="0"/>
              <w:spacing w:after="0" w:line="360" w:lineRule="auto"/>
              <w:jc w:val="both"/>
              <w:rPr>
                <w:rFonts w:hint="default" w:ascii="Cambria" w:hAnsi="Cambria" w:eastAsia="Times New Roman" w:cs="Cambria"/>
                <w:sz w:val="20"/>
                <w:szCs w:val="20"/>
                <w:lang w:val="id-ID" w:eastAsia="id-ID"/>
              </w:rPr>
            </w:pPr>
            <w:r>
              <w:rPr>
                <w:rFonts w:hint="default" w:ascii="Cambria" w:hAnsi="Cambria" w:eastAsia="Times New Roman" w:cs="Cambria"/>
                <w:sz w:val="20"/>
                <w:szCs w:val="20"/>
                <w:lang w:val="id-ID" w:eastAsia="id-ID"/>
              </w:rPr>
              <w:t>Kepala Dinas</w:t>
            </w:r>
          </w:p>
        </w:tc>
        <w:tc>
          <w:tcPr>
            <w:tcW w:w="1180"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val="id-ID" w:eastAsia="id-ID"/>
              </w:rPr>
            </w:pPr>
            <w:r>
              <w:rPr>
                <w:rFonts w:hint="default" w:ascii="Cambria" w:hAnsi="Cambria" w:eastAsia="Times New Roman" w:cs="Cambria"/>
                <w:sz w:val="20"/>
                <w:szCs w:val="20"/>
                <w:lang w:val="id-ID" w:eastAsia="id-ID"/>
              </w:rPr>
              <w:t>1 Org</w:t>
            </w:r>
          </w:p>
        </w:tc>
        <w:tc>
          <w:tcPr>
            <w:tcW w:w="1215"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w:t>
            </w:r>
          </w:p>
        </w:tc>
        <w:tc>
          <w:tcPr>
            <w:tcW w:w="1170"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w:t>
            </w:r>
          </w:p>
        </w:tc>
        <w:tc>
          <w:tcPr>
            <w:tcW w:w="1287"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1 Orang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c>
          <w:tcPr>
            <w:tcW w:w="704" w:type="dxa"/>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0"/>
                <w:szCs w:val="20"/>
                <w:lang w:val="id-ID" w:eastAsia="id-ID"/>
              </w:rPr>
            </w:pPr>
            <w:r>
              <w:rPr>
                <w:rFonts w:hint="default" w:ascii="Cambria" w:hAnsi="Cambria" w:eastAsia="Times New Roman" w:cs="Cambria"/>
                <w:b/>
                <w:bCs/>
                <w:sz w:val="20"/>
                <w:szCs w:val="20"/>
                <w:lang w:val="id-ID" w:eastAsia="id-ID"/>
              </w:rPr>
              <w:t>2</w:t>
            </w:r>
          </w:p>
        </w:tc>
        <w:tc>
          <w:tcPr>
            <w:tcW w:w="2693" w:type="dxa"/>
          </w:tcPr>
          <w:p>
            <w:pPr>
              <w:tabs>
                <w:tab w:val="left" w:pos="1276"/>
              </w:tabs>
              <w:autoSpaceDE w:val="0"/>
              <w:autoSpaceDN w:val="0"/>
              <w:adjustRightInd w:val="0"/>
              <w:spacing w:after="0" w:line="360" w:lineRule="auto"/>
              <w:jc w:val="both"/>
              <w:rPr>
                <w:rFonts w:hint="default" w:ascii="Cambria" w:hAnsi="Cambria" w:eastAsia="Times New Roman" w:cs="Cambria"/>
                <w:sz w:val="20"/>
                <w:szCs w:val="20"/>
                <w:lang w:val="id-ID" w:eastAsia="id-ID"/>
              </w:rPr>
            </w:pPr>
            <w:r>
              <w:rPr>
                <w:rFonts w:hint="default" w:ascii="Cambria" w:hAnsi="Cambria" w:eastAsia="Times New Roman" w:cs="Cambria"/>
                <w:sz w:val="20"/>
                <w:szCs w:val="20"/>
                <w:lang w:val="id-ID" w:eastAsia="id-ID"/>
              </w:rPr>
              <w:t>Sekretariat</w:t>
            </w:r>
          </w:p>
        </w:tc>
        <w:tc>
          <w:tcPr>
            <w:tcW w:w="1180"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w:t>
            </w:r>
          </w:p>
        </w:tc>
        <w:tc>
          <w:tcPr>
            <w:tcW w:w="1215"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1 Orang</w:t>
            </w:r>
          </w:p>
        </w:tc>
        <w:tc>
          <w:tcPr>
            <w:tcW w:w="1170"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1 Orang</w:t>
            </w:r>
          </w:p>
        </w:tc>
        <w:tc>
          <w:tcPr>
            <w:tcW w:w="1287"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2 Orang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241" w:hRule="atLeast"/>
        </w:trPr>
        <w:tc>
          <w:tcPr>
            <w:tcW w:w="704" w:type="dxa"/>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0"/>
                <w:szCs w:val="20"/>
                <w:lang w:val="id-ID" w:eastAsia="id-ID"/>
              </w:rPr>
            </w:pPr>
            <w:r>
              <w:rPr>
                <w:rFonts w:hint="default" w:ascii="Cambria" w:hAnsi="Cambria" w:eastAsia="Times New Roman" w:cs="Cambria"/>
                <w:b/>
                <w:bCs/>
                <w:sz w:val="20"/>
                <w:szCs w:val="20"/>
                <w:lang w:val="id-ID" w:eastAsia="id-ID"/>
              </w:rPr>
              <w:t>3</w:t>
            </w:r>
          </w:p>
        </w:tc>
        <w:tc>
          <w:tcPr>
            <w:tcW w:w="2693" w:type="dxa"/>
          </w:tcPr>
          <w:p>
            <w:pPr>
              <w:tabs>
                <w:tab w:val="left" w:pos="1276"/>
              </w:tabs>
              <w:autoSpaceDE w:val="0"/>
              <w:autoSpaceDN w:val="0"/>
              <w:adjustRightInd w:val="0"/>
              <w:spacing w:after="0" w:line="360" w:lineRule="auto"/>
              <w:jc w:val="both"/>
              <w:rPr>
                <w:rFonts w:hint="default" w:ascii="Cambria" w:hAnsi="Cambria" w:eastAsia="Times New Roman" w:cs="Cambria"/>
                <w:sz w:val="20"/>
                <w:szCs w:val="20"/>
                <w:lang w:val="id-ID" w:eastAsia="id-ID"/>
              </w:rPr>
            </w:pPr>
            <w:r>
              <w:rPr>
                <w:rFonts w:hint="default" w:ascii="Cambria" w:hAnsi="Cambria" w:eastAsia="Times New Roman" w:cs="Cambria"/>
                <w:sz w:val="20"/>
                <w:szCs w:val="20"/>
                <w:lang w:val="id-ID" w:eastAsia="id-ID"/>
              </w:rPr>
              <w:t>Perindustrian</w:t>
            </w:r>
          </w:p>
        </w:tc>
        <w:tc>
          <w:tcPr>
            <w:tcW w:w="1180"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w:t>
            </w:r>
          </w:p>
        </w:tc>
        <w:tc>
          <w:tcPr>
            <w:tcW w:w="1215"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1 Orang</w:t>
            </w:r>
          </w:p>
        </w:tc>
        <w:tc>
          <w:tcPr>
            <w:tcW w:w="1170"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2 Orang</w:t>
            </w:r>
          </w:p>
        </w:tc>
        <w:tc>
          <w:tcPr>
            <w:tcW w:w="1287"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3 Orang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232" w:hRule="atLeast"/>
        </w:trPr>
        <w:tc>
          <w:tcPr>
            <w:tcW w:w="704" w:type="dxa"/>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0"/>
                <w:szCs w:val="20"/>
                <w:lang w:val="id-ID" w:eastAsia="id-ID"/>
              </w:rPr>
            </w:pPr>
            <w:r>
              <w:rPr>
                <w:rFonts w:hint="default" w:ascii="Cambria" w:hAnsi="Cambria" w:eastAsia="Times New Roman" w:cs="Cambria"/>
                <w:b/>
                <w:bCs/>
                <w:sz w:val="20"/>
                <w:szCs w:val="20"/>
                <w:lang w:val="id-ID" w:eastAsia="id-ID"/>
              </w:rPr>
              <w:t>4</w:t>
            </w:r>
          </w:p>
        </w:tc>
        <w:tc>
          <w:tcPr>
            <w:tcW w:w="2693" w:type="dxa"/>
          </w:tcPr>
          <w:p>
            <w:pPr>
              <w:tabs>
                <w:tab w:val="left" w:pos="1276"/>
              </w:tabs>
              <w:autoSpaceDE w:val="0"/>
              <w:autoSpaceDN w:val="0"/>
              <w:adjustRightInd w:val="0"/>
              <w:spacing w:after="0" w:line="360" w:lineRule="auto"/>
              <w:jc w:val="both"/>
              <w:rPr>
                <w:rFonts w:hint="default" w:ascii="Cambria" w:hAnsi="Cambria" w:eastAsia="Times New Roman" w:cs="Cambria"/>
                <w:sz w:val="20"/>
                <w:szCs w:val="20"/>
                <w:lang w:val="id-ID" w:eastAsia="id-ID"/>
              </w:rPr>
            </w:pPr>
            <w:r>
              <w:rPr>
                <w:rFonts w:hint="default" w:ascii="Cambria" w:hAnsi="Cambria" w:eastAsia="Times New Roman" w:cs="Cambria"/>
                <w:sz w:val="20"/>
                <w:szCs w:val="20"/>
                <w:lang w:val="id-ID" w:eastAsia="id-ID"/>
              </w:rPr>
              <w:t>Perdagangan</w:t>
            </w:r>
          </w:p>
        </w:tc>
        <w:tc>
          <w:tcPr>
            <w:tcW w:w="1180"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w:t>
            </w:r>
          </w:p>
        </w:tc>
        <w:tc>
          <w:tcPr>
            <w:tcW w:w="1215"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w:t>
            </w:r>
          </w:p>
        </w:tc>
        <w:tc>
          <w:tcPr>
            <w:tcW w:w="1170"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3 Orang</w:t>
            </w:r>
          </w:p>
        </w:tc>
        <w:tc>
          <w:tcPr>
            <w:tcW w:w="1287"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3 Orang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664" w:hRule="atLeast"/>
        </w:trPr>
        <w:tc>
          <w:tcPr>
            <w:tcW w:w="704" w:type="dxa"/>
          </w:tcPr>
          <w:p>
            <w:pPr>
              <w:tabs>
                <w:tab w:val="left" w:pos="1276"/>
              </w:tabs>
              <w:autoSpaceDE w:val="0"/>
              <w:autoSpaceDN w:val="0"/>
              <w:adjustRightInd w:val="0"/>
              <w:spacing w:after="0" w:line="360" w:lineRule="auto"/>
              <w:jc w:val="center"/>
              <w:rPr>
                <w:rFonts w:hint="default" w:ascii="Cambria" w:hAnsi="Cambria" w:eastAsia="Times New Roman" w:cs="Cambria"/>
                <w:b w:val="0"/>
                <w:bCs w:val="0"/>
                <w:sz w:val="20"/>
                <w:szCs w:val="20"/>
                <w:lang w:val="id-ID" w:eastAsia="id-ID"/>
              </w:rPr>
            </w:pPr>
            <w:r>
              <w:rPr>
                <w:rFonts w:hint="default" w:ascii="Cambria" w:hAnsi="Cambria" w:eastAsia="Times New Roman" w:cs="Cambria"/>
                <w:b/>
                <w:bCs/>
                <w:sz w:val="20"/>
                <w:szCs w:val="20"/>
                <w:lang w:val="id-ID" w:eastAsia="id-ID"/>
              </w:rPr>
              <w:t>5</w:t>
            </w:r>
          </w:p>
        </w:tc>
        <w:tc>
          <w:tcPr>
            <w:tcW w:w="2693" w:type="dxa"/>
          </w:tcPr>
          <w:p>
            <w:pPr>
              <w:tabs>
                <w:tab w:val="left" w:pos="1276"/>
              </w:tabs>
              <w:autoSpaceDE w:val="0"/>
              <w:autoSpaceDN w:val="0"/>
              <w:adjustRightInd w:val="0"/>
              <w:spacing w:after="0" w:line="360" w:lineRule="auto"/>
              <w:jc w:val="both"/>
              <w:rPr>
                <w:rFonts w:hint="default" w:ascii="Cambria" w:hAnsi="Cambria" w:eastAsia="Times New Roman" w:cs="Cambria"/>
                <w:sz w:val="20"/>
                <w:szCs w:val="20"/>
                <w:lang w:val="id-ID" w:eastAsia="id-ID"/>
              </w:rPr>
            </w:pPr>
            <w:r>
              <w:rPr>
                <w:rFonts w:hint="default" w:ascii="Cambria" w:hAnsi="Cambria" w:eastAsia="Times New Roman" w:cs="Cambria"/>
                <w:sz w:val="20"/>
                <w:szCs w:val="20"/>
                <w:lang w:val="id-ID" w:eastAsia="id-ID"/>
              </w:rPr>
              <w:t>Koperasi, Usaha Kecil dan Menengah</w:t>
            </w:r>
          </w:p>
        </w:tc>
        <w:tc>
          <w:tcPr>
            <w:tcW w:w="1180"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w:t>
            </w:r>
          </w:p>
        </w:tc>
        <w:tc>
          <w:tcPr>
            <w:tcW w:w="1215"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1 Orang</w:t>
            </w:r>
          </w:p>
        </w:tc>
        <w:tc>
          <w:tcPr>
            <w:tcW w:w="1170"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3 Orang</w:t>
            </w:r>
          </w:p>
        </w:tc>
        <w:tc>
          <w:tcPr>
            <w:tcW w:w="1287" w:type="dxa"/>
          </w:tcPr>
          <w:p>
            <w:pPr>
              <w:tabs>
                <w:tab w:val="left" w:pos="1276"/>
              </w:tabs>
              <w:autoSpaceDE w:val="0"/>
              <w:autoSpaceDN w:val="0"/>
              <w:adjustRightInd w:val="0"/>
              <w:spacing w:after="0" w:line="360" w:lineRule="auto"/>
              <w:jc w:val="center"/>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4 Orang</w:t>
            </w:r>
          </w:p>
        </w:tc>
      </w:tr>
      <w:tr>
        <w:tblPrEx>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Ex>
        <w:trPr>
          <w:trHeight w:val="209" w:hRule="atLeast"/>
        </w:trPr>
        <w:tc>
          <w:tcPr>
            <w:tcW w:w="704" w:type="dxa"/>
          </w:tcPr>
          <w:p>
            <w:pPr>
              <w:tabs>
                <w:tab w:val="left" w:pos="1276"/>
              </w:tabs>
              <w:autoSpaceDE w:val="0"/>
              <w:autoSpaceDN w:val="0"/>
              <w:adjustRightInd w:val="0"/>
              <w:spacing w:after="0" w:line="360" w:lineRule="auto"/>
              <w:jc w:val="both"/>
              <w:rPr>
                <w:rFonts w:hint="default" w:ascii="Cambria" w:hAnsi="Cambria" w:eastAsia="Times New Roman" w:cs="Cambria"/>
                <w:b w:val="0"/>
                <w:bCs w:val="0"/>
                <w:sz w:val="20"/>
                <w:szCs w:val="20"/>
                <w:lang w:val="id-ID" w:eastAsia="id-ID"/>
              </w:rPr>
            </w:pPr>
          </w:p>
        </w:tc>
        <w:tc>
          <w:tcPr>
            <w:tcW w:w="2693" w:type="dxa"/>
          </w:tcPr>
          <w:p>
            <w:pPr>
              <w:tabs>
                <w:tab w:val="left" w:pos="1276"/>
              </w:tabs>
              <w:autoSpaceDE w:val="0"/>
              <w:autoSpaceDN w:val="0"/>
              <w:adjustRightInd w:val="0"/>
              <w:spacing w:after="0" w:line="360" w:lineRule="auto"/>
              <w:jc w:val="center"/>
              <w:rPr>
                <w:rFonts w:hint="default" w:ascii="Cambria" w:hAnsi="Cambria" w:eastAsia="Times New Roman" w:cs="Cambria"/>
                <w:b/>
                <w:sz w:val="20"/>
                <w:szCs w:val="20"/>
                <w:lang w:val="id-ID" w:eastAsia="id-ID"/>
              </w:rPr>
            </w:pPr>
            <w:r>
              <w:rPr>
                <w:rFonts w:hint="default" w:ascii="Cambria" w:hAnsi="Cambria" w:eastAsia="Times New Roman" w:cs="Cambria"/>
                <w:b/>
                <w:sz w:val="20"/>
                <w:szCs w:val="20"/>
                <w:lang w:val="id-ID" w:eastAsia="id-ID"/>
              </w:rPr>
              <w:t>Total</w:t>
            </w:r>
          </w:p>
        </w:tc>
        <w:tc>
          <w:tcPr>
            <w:tcW w:w="1180" w:type="dxa"/>
          </w:tcPr>
          <w:p>
            <w:pPr>
              <w:tabs>
                <w:tab w:val="left" w:pos="1276"/>
              </w:tabs>
              <w:autoSpaceDE w:val="0"/>
              <w:autoSpaceDN w:val="0"/>
              <w:adjustRightInd w:val="0"/>
              <w:spacing w:after="0" w:line="360" w:lineRule="auto"/>
              <w:jc w:val="center"/>
              <w:rPr>
                <w:rFonts w:hint="default" w:ascii="Cambria" w:hAnsi="Cambria" w:eastAsia="Times New Roman" w:cs="Cambria"/>
                <w:b/>
                <w:sz w:val="20"/>
                <w:szCs w:val="20"/>
                <w:lang w:val="id-ID" w:eastAsia="id-ID"/>
              </w:rPr>
            </w:pPr>
            <w:r>
              <w:rPr>
                <w:rFonts w:hint="default" w:ascii="Cambria" w:hAnsi="Cambria" w:eastAsia="Times New Roman" w:cs="Cambria"/>
                <w:b/>
                <w:sz w:val="20"/>
                <w:szCs w:val="20"/>
                <w:lang w:eastAsia="id-ID"/>
              </w:rPr>
              <w:t>1</w:t>
            </w:r>
            <w:r>
              <w:rPr>
                <w:rFonts w:hint="default" w:ascii="Cambria" w:hAnsi="Cambria" w:eastAsia="Times New Roman" w:cs="Cambria"/>
                <w:b/>
                <w:sz w:val="20"/>
                <w:szCs w:val="20"/>
                <w:lang w:val="id-ID" w:eastAsia="id-ID"/>
              </w:rPr>
              <w:t xml:space="preserve"> Or</w:t>
            </w:r>
            <w:r>
              <w:rPr>
                <w:rFonts w:hint="default" w:ascii="Cambria" w:hAnsi="Cambria" w:eastAsia="Times New Roman" w:cs="Cambria"/>
                <w:b/>
                <w:sz w:val="20"/>
                <w:szCs w:val="20"/>
                <w:lang w:eastAsia="id-ID"/>
              </w:rPr>
              <w:t>an</w:t>
            </w:r>
            <w:r>
              <w:rPr>
                <w:rFonts w:hint="default" w:ascii="Cambria" w:hAnsi="Cambria" w:eastAsia="Times New Roman" w:cs="Cambria"/>
                <w:b/>
                <w:sz w:val="20"/>
                <w:szCs w:val="20"/>
                <w:lang w:val="id-ID" w:eastAsia="id-ID"/>
              </w:rPr>
              <w:t>g</w:t>
            </w:r>
          </w:p>
        </w:tc>
        <w:tc>
          <w:tcPr>
            <w:tcW w:w="1215" w:type="dxa"/>
          </w:tcPr>
          <w:p>
            <w:pPr>
              <w:tabs>
                <w:tab w:val="left" w:pos="1276"/>
              </w:tabs>
              <w:autoSpaceDE w:val="0"/>
              <w:autoSpaceDN w:val="0"/>
              <w:adjustRightInd w:val="0"/>
              <w:spacing w:after="0" w:line="360" w:lineRule="auto"/>
              <w:jc w:val="center"/>
              <w:rPr>
                <w:rFonts w:hint="default" w:ascii="Cambria" w:hAnsi="Cambria" w:eastAsia="Times New Roman" w:cs="Cambria"/>
                <w:b/>
                <w:sz w:val="20"/>
                <w:szCs w:val="20"/>
                <w:lang w:val="id-ID" w:eastAsia="id-ID"/>
              </w:rPr>
            </w:pPr>
            <w:r>
              <w:rPr>
                <w:rFonts w:hint="default" w:ascii="Cambria" w:hAnsi="Cambria" w:eastAsia="Times New Roman" w:cs="Cambria"/>
                <w:b/>
                <w:sz w:val="20"/>
                <w:szCs w:val="20"/>
                <w:lang w:eastAsia="id-ID"/>
              </w:rPr>
              <w:t xml:space="preserve">3 </w:t>
            </w:r>
            <w:r>
              <w:rPr>
                <w:rFonts w:hint="default" w:ascii="Cambria" w:hAnsi="Cambria" w:eastAsia="Times New Roman" w:cs="Cambria"/>
                <w:b/>
                <w:sz w:val="20"/>
                <w:szCs w:val="20"/>
                <w:lang w:val="id-ID" w:eastAsia="id-ID"/>
              </w:rPr>
              <w:t>Or</w:t>
            </w:r>
            <w:r>
              <w:rPr>
                <w:rFonts w:hint="default" w:ascii="Cambria" w:hAnsi="Cambria" w:eastAsia="Times New Roman" w:cs="Cambria"/>
                <w:b/>
                <w:sz w:val="20"/>
                <w:szCs w:val="20"/>
                <w:lang w:eastAsia="id-ID"/>
              </w:rPr>
              <w:t>an</w:t>
            </w:r>
            <w:r>
              <w:rPr>
                <w:rFonts w:hint="default" w:ascii="Cambria" w:hAnsi="Cambria" w:eastAsia="Times New Roman" w:cs="Cambria"/>
                <w:b/>
                <w:sz w:val="20"/>
                <w:szCs w:val="20"/>
                <w:lang w:val="id-ID" w:eastAsia="id-ID"/>
              </w:rPr>
              <w:t>g</w:t>
            </w:r>
          </w:p>
        </w:tc>
        <w:tc>
          <w:tcPr>
            <w:tcW w:w="1170" w:type="dxa"/>
          </w:tcPr>
          <w:p>
            <w:pPr>
              <w:tabs>
                <w:tab w:val="left" w:pos="1276"/>
              </w:tabs>
              <w:autoSpaceDE w:val="0"/>
              <w:autoSpaceDN w:val="0"/>
              <w:adjustRightInd w:val="0"/>
              <w:spacing w:after="0" w:line="360" w:lineRule="auto"/>
              <w:jc w:val="center"/>
              <w:rPr>
                <w:rFonts w:hint="default" w:ascii="Cambria" w:hAnsi="Cambria" w:eastAsia="Times New Roman" w:cs="Cambria"/>
                <w:b/>
                <w:sz w:val="20"/>
                <w:szCs w:val="20"/>
                <w:lang w:val="id-ID" w:eastAsia="id-ID"/>
              </w:rPr>
            </w:pPr>
            <w:r>
              <w:rPr>
                <w:rFonts w:hint="default" w:ascii="Cambria" w:hAnsi="Cambria" w:eastAsia="Times New Roman" w:cs="Cambria"/>
                <w:b/>
                <w:sz w:val="20"/>
                <w:szCs w:val="20"/>
                <w:lang w:eastAsia="id-ID"/>
              </w:rPr>
              <w:t>9</w:t>
            </w:r>
            <w:r>
              <w:rPr>
                <w:rFonts w:hint="default" w:ascii="Cambria" w:hAnsi="Cambria" w:eastAsia="Times New Roman" w:cs="Cambria"/>
                <w:b/>
                <w:sz w:val="20"/>
                <w:szCs w:val="20"/>
                <w:lang w:val="id-ID" w:eastAsia="id-ID"/>
              </w:rPr>
              <w:t xml:space="preserve"> Or</w:t>
            </w:r>
            <w:r>
              <w:rPr>
                <w:rFonts w:hint="default" w:ascii="Cambria" w:hAnsi="Cambria" w:eastAsia="Times New Roman" w:cs="Cambria"/>
                <w:b/>
                <w:sz w:val="20"/>
                <w:szCs w:val="20"/>
                <w:lang w:eastAsia="id-ID"/>
              </w:rPr>
              <w:t>an</w:t>
            </w:r>
            <w:r>
              <w:rPr>
                <w:rFonts w:hint="default" w:ascii="Cambria" w:hAnsi="Cambria" w:eastAsia="Times New Roman" w:cs="Cambria"/>
                <w:b/>
                <w:sz w:val="20"/>
                <w:szCs w:val="20"/>
                <w:lang w:val="id-ID" w:eastAsia="id-ID"/>
              </w:rPr>
              <w:t>g</w:t>
            </w:r>
          </w:p>
        </w:tc>
        <w:tc>
          <w:tcPr>
            <w:tcW w:w="1287" w:type="dxa"/>
          </w:tcPr>
          <w:p>
            <w:pPr>
              <w:tabs>
                <w:tab w:val="left" w:pos="1276"/>
              </w:tabs>
              <w:autoSpaceDE w:val="0"/>
              <w:autoSpaceDN w:val="0"/>
              <w:adjustRightInd w:val="0"/>
              <w:spacing w:after="0" w:line="360" w:lineRule="auto"/>
              <w:jc w:val="center"/>
              <w:rPr>
                <w:rFonts w:hint="default" w:ascii="Cambria" w:hAnsi="Cambria" w:eastAsia="Times New Roman" w:cs="Cambria"/>
                <w:b/>
                <w:sz w:val="20"/>
                <w:szCs w:val="20"/>
                <w:lang w:val="id-ID" w:eastAsia="id-ID"/>
              </w:rPr>
            </w:pPr>
            <w:r>
              <w:rPr>
                <w:rFonts w:hint="default" w:ascii="Cambria" w:hAnsi="Cambria" w:eastAsia="Times New Roman" w:cs="Cambria"/>
                <w:b/>
                <w:sz w:val="20"/>
                <w:szCs w:val="20"/>
                <w:lang w:eastAsia="id-ID"/>
              </w:rPr>
              <w:t>13</w:t>
            </w:r>
            <w:r>
              <w:rPr>
                <w:rFonts w:hint="default" w:ascii="Cambria" w:hAnsi="Cambria" w:eastAsia="Times New Roman" w:cs="Cambria"/>
                <w:b/>
                <w:sz w:val="20"/>
                <w:szCs w:val="20"/>
                <w:lang w:val="id-ID" w:eastAsia="id-ID"/>
              </w:rPr>
              <w:t xml:space="preserve"> Or</w:t>
            </w:r>
            <w:r>
              <w:rPr>
                <w:rFonts w:hint="default" w:ascii="Cambria" w:hAnsi="Cambria" w:eastAsia="Times New Roman" w:cs="Cambria"/>
                <w:b/>
                <w:sz w:val="20"/>
                <w:szCs w:val="20"/>
                <w:lang w:eastAsia="id-ID"/>
              </w:rPr>
              <w:t>an</w:t>
            </w:r>
            <w:r>
              <w:rPr>
                <w:rFonts w:hint="default" w:ascii="Cambria" w:hAnsi="Cambria" w:eastAsia="Times New Roman" w:cs="Cambria"/>
                <w:b/>
                <w:sz w:val="20"/>
                <w:szCs w:val="20"/>
                <w:lang w:val="id-ID" w:eastAsia="id-ID"/>
              </w:rPr>
              <w:t>g</w:t>
            </w:r>
          </w:p>
        </w:tc>
      </w:tr>
    </w:tbl>
    <w:p>
      <w:pPr>
        <w:pStyle w:val="13"/>
        <w:numPr>
          <w:ilvl w:val="0"/>
          <w:numId w:val="7"/>
        </w:numPr>
        <w:shd w:val="clear" w:color="auto" w:fill="FFFFFF" w:themeFill="background1"/>
        <w:spacing w:line="360" w:lineRule="auto"/>
        <w:ind w:left="1134" w:hanging="425"/>
        <w:jc w:val="both"/>
        <w:rPr>
          <w:rFonts w:hint="default" w:ascii="Cambria" w:hAnsi="Cambria" w:cs="Cambria"/>
          <w:b/>
          <w:sz w:val="24"/>
          <w:szCs w:val="24"/>
        </w:rPr>
      </w:pPr>
      <w:r>
        <w:rPr>
          <w:rFonts w:hint="default" w:ascii="Cambria" w:hAnsi="Cambria" w:cs="Cambria"/>
          <w:b/>
          <w:sz w:val="24"/>
          <w:szCs w:val="24"/>
        </w:rPr>
        <w:t>Sarana dan Prasarana</w:t>
      </w:r>
    </w:p>
    <w:p>
      <w:pPr>
        <w:pStyle w:val="13"/>
        <w:shd w:val="clear" w:color="auto" w:fill="FFFFFF" w:themeFill="background1"/>
        <w:spacing w:line="360" w:lineRule="auto"/>
        <w:ind w:left="1134" w:firstLine="709"/>
        <w:jc w:val="both"/>
        <w:rPr>
          <w:rFonts w:hint="default" w:ascii="Cambria" w:hAnsi="Cambria" w:cs="Cambria"/>
          <w:b/>
          <w:sz w:val="24"/>
          <w:szCs w:val="24"/>
        </w:rPr>
      </w:pPr>
      <w:r>
        <w:rPr>
          <w:rFonts w:hint="default" w:ascii="Cambria" w:hAnsi="Cambria" w:cs="Cambria"/>
          <w:color w:val="000000" w:themeColor="text1"/>
          <w:sz w:val="24"/>
          <w:szCs w:val="24"/>
          <w14:textFill>
            <w14:solidFill>
              <w14:schemeClr w14:val="tx1"/>
            </w14:solidFill>
          </w14:textFill>
        </w:rPr>
        <w:t xml:space="preserve">Dalam melaksanakan tugas Dinas </w:t>
      </w:r>
      <w:r>
        <w:rPr>
          <w:rFonts w:hint="default" w:ascii="Cambria" w:hAnsi="Cambria" w:cs="Cambria"/>
          <w:bCs/>
          <w:color w:val="000000" w:themeColor="text1"/>
          <w:sz w:val="24"/>
          <w:szCs w:val="24"/>
          <w14:textFill>
            <w14:solidFill>
              <w14:schemeClr w14:val="tx1"/>
            </w14:solidFill>
          </w14:textFill>
        </w:rPr>
        <w:t>Perindustrian, Perdagangan, Koperasi Usaha Kecil dan Menengah</w:t>
      </w:r>
      <w:r>
        <w:rPr>
          <w:rFonts w:hint="default" w:ascii="Cambria" w:hAnsi="Cambria" w:cs="Cambria"/>
          <w:color w:val="000000" w:themeColor="text1"/>
          <w:sz w:val="24"/>
          <w:szCs w:val="24"/>
          <w14:textFill>
            <w14:solidFill>
              <w14:schemeClr w14:val="tx1"/>
            </w14:solidFill>
          </w14:textFill>
        </w:rPr>
        <w:t xml:space="preserve"> Kabupaten Kepulauan Selayar didukung sarana dan prasarana berdasarkan data per bulan Desember 2022 sebagaimana berikut :</w:t>
      </w:r>
    </w:p>
    <w:tbl>
      <w:tblPr>
        <w:tblStyle w:val="10"/>
        <w:tblW w:w="0" w:type="auto"/>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9"/>
        <w:gridCol w:w="2844"/>
        <w:gridCol w:w="1005"/>
        <w:gridCol w:w="1170"/>
        <w:gridCol w:w="1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240" w:lineRule="auto"/>
              <w:ind w:left="0"/>
              <w:jc w:val="center"/>
              <w:textAlignment w:val="auto"/>
              <w:rPr>
                <w:rFonts w:hint="default" w:ascii="Cambria" w:hAnsi="Cambria" w:cs="Cambria"/>
                <w:b/>
                <w:bCs w:val="0"/>
                <w:sz w:val="24"/>
                <w:szCs w:val="24"/>
                <w:vertAlign w:val="baseline"/>
                <w:lang w:val="en-US"/>
              </w:rPr>
            </w:pPr>
            <w:r>
              <w:rPr>
                <w:rFonts w:hint="default" w:ascii="Cambria" w:hAnsi="Cambria" w:cs="Cambria"/>
                <w:b/>
                <w:bCs w:val="0"/>
                <w:sz w:val="24"/>
                <w:szCs w:val="24"/>
                <w:vertAlign w:val="baseline"/>
                <w:lang w:val="en-US"/>
              </w:rPr>
              <w:t>NO.</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240" w:lineRule="auto"/>
              <w:ind w:left="0"/>
              <w:jc w:val="center"/>
              <w:textAlignment w:val="auto"/>
              <w:rPr>
                <w:rFonts w:hint="default" w:ascii="Cambria" w:hAnsi="Cambria" w:cs="Cambria"/>
                <w:b/>
                <w:bCs w:val="0"/>
                <w:sz w:val="24"/>
                <w:szCs w:val="24"/>
                <w:vertAlign w:val="baseline"/>
                <w:lang w:val="en-US"/>
              </w:rPr>
            </w:pPr>
            <w:r>
              <w:rPr>
                <w:rFonts w:hint="default" w:ascii="Cambria" w:hAnsi="Cambria" w:cs="Cambria"/>
                <w:b/>
                <w:bCs w:val="0"/>
                <w:sz w:val="24"/>
                <w:szCs w:val="24"/>
                <w:vertAlign w:val="baseline"/>
                <w:lang w:val="en-US"/>
              </w:rPr>
              <w:t>NAMA BARANG</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240" w:lineRule="auto"/>
              <w:ind w:left="0"/>
              <w:jc w:val="center"/>
              <w:textAlignment w:val="auto"/>
              <w:rPr>
                <w:rFonts w:hint="default" w:ascii="Cambria" w:hAnsi="Cambria" w:cs="Cambria"/>
                <w:b/>
                <w:bCs w:val="0"/>
                <w:sz w:val="24"/>
                <w:szCs w:val="24"/>
                <w:vertAlign w:val="baseline"/>
                <w:lang w:val="en-US"/>
              </w:rPr>
            </w:pPr>
            <w:r>
              <w:rPr>
                <w:rFonts w:hint="default" w:ascii="Cambria" w:hAnsi="Cambria" w:cs="Cambria"/>
                <w:b/>
                <w:bCs w:val="0"/>
                <w:sz w:val="24"/>
                <w:szCs w:val="24"/>
                <w:vertAlign w:val="baseline"/>
                <w:lang w:val="en-US"/>
              </w:rPr>
              <w:t>Jumah</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240" w:lineRule="auto"/>
              <w:ind w:left="0"/>
              <w:jc w:val="center"/>
              <w:textAlignment w:val="auto"/>
              <w:rPr>
                <w:rFonts w:hint="default" w:ascii="Cambria" w:hAnsi="Cambria" w:cs="Cambria"/>
                <w:b/>
                <w:bCs w:val="0"/>
                <w:sz w:val="24"/>
                <w:szCs w:val="24"/>
                <w:vertAlign w:val="baseline"/>
                <w:lang w:val="en-US"/>
              </w:rPr>
            </w:pPr>
            <w:r>
              <w:rPr>
                <w:rFonts w:hint="default" w:ascii="Cambria" w:hAnsi="Cambria" w:cs="Cambria"/>
                <w:b/>
                <w:bCs w:val="0"/>
                <w:sz w:val="24"/>
                <w:szCs w:val="24"/>
                <w:vertAlign w:val="baseline"/>
                <w:lang w:val="en-US"/>
              </w:rPr>
              <w:t>Satuan</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240" w:lineRule="auto"/>
              <w:ind w:left="0"/>
              <w:jc w:val="center"/>
              <w:textAlignment w:val="auto"/>
              <w:rPr>
                <w:rFonts w:hint="default" w:ascii="Cambria" w:hAnsi="Cambria" w:cs="Cambria"/>
                <w:b/>
                <w:bCs w:val="0"/>
                <w:sz w:val="24"/>
                <w:szCs w:val="24"/>
                <w:vertAlign w:val="baseline"/>
                <w:lang w:val="en-US"/>
              </w:rPr>
            </w:pPr>
            <w:r>
              <w:rPr>
                <w:rFonts w:hint="default" w:ascii="Cambria" w:hAnsi="Cambria" w:cs="Cambria"/>
                <w:b/>
                <w:bCs w:val="0"/>
                <w:sz w:val="24"/>
                <w:szCs w:val="24"/>
                <w:vertAlign w:val="baseline"/>
                <w:lang w:val="en-US"/>
              </w:rPr>
              <w:t>Keterangan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Komputer</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18</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Laptop</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46</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Notebook</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8</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4</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Printer</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18</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5</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Scanner</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6</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Sepeda Motor</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25</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7</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Mesin Las Listrik</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8</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Mesin Pompa Air</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9</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 xml:space="preserve">Termometer </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10</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Stopwastch</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11</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Tool Set</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12</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Landasan Cap Lengkap</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13</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Tang Plombir</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4</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14</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Bejana Ukur</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4</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15</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Timbangan Meja Kapasitas 10 KG</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6</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 xml:space="preserve">16 </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Anak Timbangan Miligram</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17</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Anak Timbangan Bidur</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25</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 xml:space="preserve">18 </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 xml:space="preserve">Lemari Besi </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7</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19</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Lemari Kayu</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20</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Rak Kayu</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21</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Filling Cabinet Besi</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22</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 xml:space="preserve">Lemari Kaca </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5</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23</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 xml:space="preserve">Mesin Absensi </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24</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Meja Kerja Kayu</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37</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25</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Kursi Besi</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26</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Kursi Rapat</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120</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27</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Kursi Tamu</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28</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 xml:space="preserve">Kursi Putar </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27</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29</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 xml:space="preserve">Mesin Pemotong Rumput </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30</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Lemari Es</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31</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AC</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20</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32</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TV</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8</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33</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Loudspeaker</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34</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Soundsystem</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35</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Gordyin</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36</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Buffet Kayu</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37</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Buffet Kaca</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6</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38</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 xml:space="preserve">Lemari Arsip </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39</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Proyektor</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5</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40</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Kamera Digital</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7</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41</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Faxmile</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1</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42</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Kursi Hadap Depan Meja Kerja Lainnya</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2</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43</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Kursi Kerja Pejabat Lainnya</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3</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44</w:t>
            </w:r>
          </w:p>
        </w:tc>
        <w:tc>
          <w:tcPr>
            <w:tcW w:w="2846"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Meja Kerja Pejabat Lain</w:t>
            </w:r>
          </w:p>
        </w:tc>
        <w:tc>
          <w:tcPr>
            <w:tcW w:w="1005"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jc w:val="center"/>
              <w:textAlignment w:val="auto"/>
              <w:rPr>
                <w:rFonts w:hint="default" w:ascii="Cambria" w:hAnsi="Cambria" w:cs="Cambria"/>
                <w:b w:val="0"/>
                <w:bCs/>
                <w:sz w:val="24"/>
                <w:szCs w:val="24"/>
                <w:vertAlign w:val="baseline"/>
                <w:lang w:val="en-US"/>
              </w:rPr>
            </w:pPr>
            <w:r>
              <w:rPr>
                <w:rFonts w:hint="default" w:ascii="Cambria" w:hAnsi="Cambria" w:cs="Cambria"/>
                <w:b w:val="0"/>
                <w:bCs/>
                <w:sz w:val="24"/>
                <w:szCs w:val="24"/>
                <w:vertAlign w:val="baseline"/>
                <w:lang w:val="en-US"/>
              </w:rPr>
              <w:t>9</w:t>
            </w:r>
          </w:p>
        </w:tc>
        <w:tc>
          <w:tcPr>
            <w:tcW w:w="1170"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Unit</w:t>
            </w:r>
          </w:p>
        </w:tc>
        <w:tc>
          <w:tcPr>
            <w:tcW w:w="1503" w:type="dxa"/>
            <w:vAlign w:val="center"/>
          </w:tcPr>
          <w:p>
            <w:pPr>
              <w:pStyle w:val="13"/>
              <w:keepNext w:val="0"/>
              <w:keepLines w:val="0"/>
              <w:pageBreakBefore w:val="0"/>
              <w:widowControl/>
              <w:kinsoku/>
              <w:wordWrap/>
              <w:overflowPunct/>
              <w:topLinePunct w:val="0"/>
              <w:autoSpaceDE/>
              <w:autoSpaceDN/>
              <w:bidi w:val="0"/>
              <w:adjustRightInd/>
              <w:snapToGrid/>
              <w:spacing w:after="0" w:line="360" w:lineRule="auto"/>
              <w:ind w:left="0" w:leftChars="0"/>
              <w:jc w:val="center"/>
              <w:textAlignment w:val="auto"/>
              <w:rPr>
                <w:rFonts w:hint="default" w:ascii="Cambria" w:hAnsi="Cambria" w:cs="Cambria" w:eastAsiaTheme="minorHAnsi"/>
                <w:b w:val="0"/>
                <w:bCs/>
                <w:sz w:val="24"/>
                <w:szCs w:val="24"/>
                <w:vertAlign w:val="baseline"/>
                <w:lang w:val="en-US" w:eastAsia="en-US" w:bidi="ar-SA"/>
              </w:rPr>
            </w:pPr>
            <w:r>
              <w:rPr>
                <w:rFonts w:hint="default" w:ascii="Cambria" w:hAnsi="Cambria" w:cs="Cambria"/>
                <w:b w:val="0"/>
                <w:bCs/>
                <w:sz w:val="24"/>
                <w:szCs w:val="24"/>
                <w:vertAlign w:val="baseline"/>
                <w:lang w:val="en-US"/>
              </w:rPr>
              <w:t>Baik</w:t>
            </w:r>
          </w:p>
        </w:tc>
      </w:tr>
    </w:tbl>
    <w:p>
      <w:pPr>
        <w:shd w:val="clear" w:color="auto" w:fill="FFFFFF" w:themeFill="background1"/>
        <w:spacing w:line="360" w:lineRule="auto"/>
        <w:jc w:val="both"/>
        <w:rPr>
          <w:rFonts w:hint="default" w:ascii="Cambria" w:hAnsi="Cambria" w:cs="Cambria"/>
          <w:b/>
          <w:sz w:val="24"/>
          <w:szCs w:val="24"/>
        </w:rPr>
      </w:pPr>
    </w:p>
    <w:p>
      <w:pPr>
        <w:shd w:val="clear" w:color="auto" w:fill="FFFFFF" w:themeFill="background1"/>
        <w:spacing w:line="360" w:lineRule="auto"/>
        <w:jc w:val="both"/>
        <w:rPr>
          <w:rFonts w:hint="default" w:ascii="Cambria" w:hAnsi="Cambria" w:cs="Cambria"/>
          <w:b/>
          <w:sz w:val="24"/>
          <w:szCs w:val="24"/>
        </w:rPr>
      </w:pPr>
    </w:p>
    <w:p>
      <w:pPr>
        <w:shd w:val="clear" w:color="auto" w:fill="FFFFFF" w:themeFill="background1"/>
        <w:spacing w:line="360" w:lineRule="auto"/>
        <w:jc w:val="both"/>
        <w:rPr>
          <w:rFonts w:hint="default" w:ascii="Cambria" w:hAnsi="Cambria" w:cs="Cambria"/>
          <w:b/>
          <w:sz w:val="24"/>
          <w:szCs w:val="24"/>
        </w:rPr>
        <w:sectPr>
          <w:headerReference r:id="rId5" w:type="default"/>
          <w:footerReference r:id="rId6" w:type="default"/>
          <w:pgSz w:w="11907" w:h="16839"/>
          <w:pgMar w:top="1701" w:right="1701" w:bottom="1701" w:left="2268" w:header="680" w:footer="340" w:gutter="0"/>
          <w:pgBorders>
            <w:top w:val="none" w:sz="0" w:space="0"/>
            <w:left w:val="none" w:sz="0" w:space="0"/>
            <w:bottom w:val="none" w:sz="0" w:space="0"/>
            <w:right w:val="none" w:sz="0" w:space="0"/>
          </w:pgBorders>
          <w:cols w:space="708" w:num="1"/>
          <w:docGrid w:linePitch="360" w:charSpace="0"/>
        </w:sectPr>
      </w:pPr>
    </w:p>
    <w:p>
      <w:pPr>
        <w:shd w:val="clear" w:color="auto" w:fill="FFFFFF" w:themeFill="background1"/>
        <w:spacing w:after="0" w:line="360" w:lineRule="auto"/>
        <w:jc w:val="center"/>
        <w:rPr>
          <w:rFonts w:hint="default" w:ascii="Cambria" w:hAnsi="Cambria" w:cs="Cambria"/>
          <w:b/>
          <w:sz w:val="24"/>
          <w:szCs w:val="24"/>
        </w:rPr>
      </w:pPr>
      <w:r>
        <w:rPr>
          <w:rFonts w:hint="default" w:ascii="Cambria" w:hAnsi="Cambria" w:cs="Cambria"/>
          <w:b/>
          <w:sz w:val="24"/>
          <w:szCs w:val="24"/>
        </w:rPr>
        <w:t>GAMBAR 1.1</w:t>
      </w:r>
    </w:p>
    <w:p>
      <w:pPr>
        <w:shd w:val="clear" w:color="auto" w:fill="FFFFFF" w:themeFill="background1"/>
        <w:spacing w:after="0" w:line="360" w:lineRule="auto"/>
        <w:jc w:val="center"/>
        <w:rPr>
          <w:rFonts w:hint="default" w:ascii="Cambria" w:hAnsi="Cambria" w:cs="Cambria"/>
          <w:b/>
          <w:sz w:val="24"/>
          <w:szCs w:val="24"/>
        </w:rPr>
      </w:pPr>
      <w:r>
        <w:rPr>
          <w:rFonts w:hint="default" w:ascii="Cambria" w:hAnsi="Cambria" w:cs="Cambria"/>
          <w:sz w:val="24"/>
          <w:szCs w:val="24"/>
          <w:u w:val="single"/>
        </w:rPr>
        <w:t>STRUKTUR ORGANISASI</w:t>
      </w:r>
    </w:p>
    <w:p>
      <w:pPr>
        <w:shd w:val="clear" w:color="auto" w:fill="FFFFFF" w:themeFill="background1"/>
        <w:spacing w:after="0" w:line="360" w:lineRule="auto"/>
        <w:jc w:val="center"/>
        <w:rPr>
          <w:rFonts w:hint="default" w:ascii="Cambria" w:hAnsi="Cambria" w:cs="Cambria"/>
          <w:b/>
          <w:sz w:val="24"/>
          <w:szCs w:val="24"/>
        </w:rPr>
      </w:pPr>
    </w:p>
    <w:p>
      <w:pPr>
        <w:shd w:val="clear" w:color="auto" w:fill="FFFFFF" w:themeFill="background1"/>
        <w:spacing w:after="0" w:line="360" w:lineRule="auto"/>
        <w:jc w:val="center"/>
        <w:rPr>
          <w:rFonts w:hint="default" w:ascii="Cambria" w:hAnsi="Cambria" w:cs="Cambria"/>
          <w:b/>
          <w:sz w:val="24"/>
          <w:szCs w:val="24"/>
        </w:rPr>
        <w:sectPr>
          <w:pgSz w:w="16839" w:h="11907" w:orient="landscape"/>
          <w:pgMar w:top="1701" w:right="1701" w:bottom="2268" w:left="1701" w:header="680" w:footer="340" w:gutter="0"/>
          <w:pgBorders>
            <w:top w:val="none" w:sz="0" w:space="0"/>
            <w:left w:val="none" w:sz="0" w:space="0"/>
            <w:bottom w:val="none" w:sz="0" w:space="0"/>
            <w:right w:val="none" w:sz="0" w:space="0"/>
          </w:pgBorders>
          <w:cols w:space="708" w:num="1"/>
          <w:docGrid w:linePitch="360" w:charSpace="0"/>
        </w:sectPr>
      </w:pPr>
      <w:r>
        <w:rPr>
          <w:rFonts w:hint="default" w:ascii="Cambria" w:hAnsi="Cambria" w:cs="Cambria"/>
          <w:b/>
          <w:sz w:val="24"/>
          <w:szCs w:val="24"/>
        </w:rPr>
        <mc:AlternateContent>
          <mc:Choice Requires="wpg">
            <w:drawing>
              <wp:anchor distT="0" distB="0" distL="114300" distR="114300" simplePos="0" relativeHeight="251672576" behindDoc="0" locked="0" layoutInCell="1" allowOverlap="1">
                <wp:simplePos x="0" y="0"/>
                <wp:positionH relativeFrom="column">
                  <wp:posOffset>1091565</wp:posOffset>
                </wp:positionH>
                <wp:positionV relativeFrom="paragraph">
                  <wp:posOffset>22225</wp:posOffset>
                </wp:positionV>
                <wp:extent cx="7140575" cy="3545840"/>
                <wp:effectExtent l="12700" t="15240" r="28575" b="20320"/>
                <wp:wrapNone/>
                <wp:docPr id="38" name="Group 38"/>
                <wp:cNvGraphicFramePr/>
                <a:graphic xmlns:a="http://schemas.openxmlformats.org/drawingml/2006/main">
                  <a:graphicData uri="http://schemas.microsoft.com/office/word/2010/wordprocessingGroup">
                    <wpg:wgp>
                      <wpg:cNvGrpSpPr/>
                      <wpg:grpSpPr>
                        <a:xfrm>
                          <a:off x="0" y="0"/>
                          <a:ext cx="7140575" cy="3545840"/>
                          <a:chOff x="345056" y="-53855"/>
                          <a:chExt cx="8540717" cy="4009913"/>
                        </a:xfrm>
                      </wpg:grpSpPr>
                      <wps:wsp>
                        <wps:cNvPr id="1" name="AutoShape 1012"/>
                        <wps:cNvSpPr>
                          <a:spLocks noChangeArrowheads="1"/>
                        </wps:cNvSpPr>
                        <wps:spPr bwMode="auto">
                          <a:xfrm>
                            <a:off x="2891430" y="-53855"/>
                            <a:ext cx="1646062" cy="344686"/>
                          </a:xfrm>
                          <a:prstGeom prst="roundRect">
                            <a:avLst>
                              <a:gd name="adj" fmla="val 16667"/>
                            </a:avLst>
                          </a:prstGeom>
                        </wps:spPr>
                        <wps:style>
                          <a:lnRef idx="1">
                            <a:schemeClr val="accent1"/>
                          </a:lnRef>
                          <a:fillRef idx="3">
                            <a:schemeClr val="accent1"/>
                          </a:fillRef>
                          <a:effectRef idx="2">
                            <a:schemeClr val="accent1"/>
                          </a:effectRef>
                          <a:fontRef idx="minor">
                            <a:schemeClr val="lt1"/>
                          </a:fontRef>
                        </wps:style>
                        <wps:txbx>
                          <w:txbxContent>
                            <w:p>
                              <w:pPr>
                                <w:jc w:val="center"/>
                                <w:rPr>
                                  <w:rFonts w:ascii="Tahoma" w:hAnsi="Tahoma" w:cs="Tahoma"/>
                                  <w:b/>
                                  <w:szCs w:val="16"/>
                                </w:rPr>
                              </w:pPr>
                              <w:r>
                                <w:rPr>
                                  <w:rFonts w:ascii="Tahoma" w:hAnsi="Tahoma" w:cs="Tahoma"/>
                                  <w:b/>
                                  <w:szCs w:val="16"/>
                                </w:rPr>
                                <w:t>KEPALA DINAS</w:t>
                              </w:r>
                            </w:p>
                          </w:txbxContent>
                        </wps:txbx>
                        <wps:bodyPr rot="0" vert="horz" wrap="square" lIns="91440" tIns="45720" rIns="91440" bIns="45720" anchor="t" anchorCtr="0" upright="1">
                          <a:noAutofit/>
                        </wps:bodyPr>
                      </wps:wsp>
                      <wps:wsp>
                        <wps:cNvPr id="40" name="AutoShape 1069"/>
                        <wps:cNvSpPr>
                          <a:spLocks noChangeArrowheads="1"/>
                        </wps:cNvSpPr>
                        <wps:spPr bwMode="auto">
                          <a:xfrm>
                            <a:off x="578226" y="578080"/>
                            <a:ext cx="1552443" cy="648451"/>
                          </a:xfrm>
                          <a:prstGeom prst="roundRect">
                            <a:avLst>
                              <a:gd name="adj" fmla="val 16667"/>
                            </a:avLst>
                          </a:prstGeom>
                        </wps:spPr>
                        <wps:style>
                          <a:lnRef idx="2">
                            <a:schemeClr val="accent2"/>
                          </a:lnRef>
                          <a:fillRef idx="1">
                            <a:schemeClr val="lt1"/>
                          </a:fillRef>
                          <a:effectRef idx="0">
                            <a:schemeClr val="accent2"/>
                          </a:effectRef>
                          <a:fontRef idx="minor">
                            <a:schemeClr val="dk1"/>
                          </a:fontRef>
                        </wps:style>
                        <wps:txbx>
                          <w:txbxContent>
                            <w:p>
                              <w:pPr>
                                <w:jc w:val="center"/>
                                <w:rPr>
                                  <w:rFonts w:ascii="Tahoma" w:hAnsi="Tahoma" w:cs="Tahoma"/>
                                  <w:b/>
                                  <w:sz w:val="16"/>
                                  <w:szCs w:val="16"/>
                                </w:rPr>
                              </w:pPr>
                              <w:r>
                                <w:rPr>
                                  <w:rFonts w:ascii="Tahoma" w:hAnsi="Tahoma" w:cs="Tahoma"/>
                                  <w:b/>
                                  <w:sz w:val="16"/>
                                  <w:szCs w:val="16"/>
                                </w:rPr>
                                <w:t>KELOMPOK JABATAN FUNGSIONAL</w:t>
                              </w:r>
                            </w:p>
                          </w:txbxContent>
                        </wps:txbx>
                        <wps:bodyPr rot="0" vert="horz" wrap="square" lIns="91440" tIns="45720" rIns="91440" bIns="45720" anchor="t" anchorCtr="0" upright="1">
                          <a:noAutofit/>
                        </wps:bodyPr>
                      </wps:wsp>
                      <wps:wsp>
                        <wps:cNvPr id="41" name="Straight Connector 4"/>
                        <wps:cNvCnPr/>
                        <wps:spPr>
                          <a:xfrm>
                            <a:off x="1345721" y="448574"/>
                            <a:ext cx="0" cy="133350"/>
                          </a:xfrm>
                          <a:prstGeom prst="line">
                            <a:avLst/>
                          </a:prstGeom>
                        </wps:spPr>
                        <wps:style>
                          <a:lnRef idx="2">
                            <a:schemeClr val="dk1"/>
                          </a:lnRef>
                          <a:fillRef idx="0">
                            <a:schemeClr val="dk1"/>
                          </a:fillRef>
                          <a:effectRef idx="1">
                            <a:schemeClr val="dk1"/>
                          </a:effectRef>
                          <a:fontRef idx="minor">
                            <a:schemeClr val="tx1"/>
                          </a:fontRef>
                        </wps:style>
                        <wps:bodyPr/>
                      </wps:wsp>
                      <wps:wsp>
                        <wps:cNvPr id="42" name="Straight Connector 5"/>
                        <wps:cNvCnPr/>
                        <wps:spPr>
                          <a:xfrm>
                            <a:off x="1322936" y="448574"/>
                            <a:ext cx="5114925" cy="0"/>
                          </a:xfrm>
                          <a:prstGeom prst="line">
                            <a:avLst/>
                          </a:prstGeom>
                        </wps:spPr>
                        <wps:style>
                          <a:lnRef idx="2">
                            <a:schemeClr val="dk1"/>
                          </a:lnRef>
                          <a:fillRef idx="0">
                            <a:schemeClr val="dk1"/>
                          </a:fillRef>
                          <a:effectRef idx="1">
                            <a:schemeClr val="dk1"/>
                          </a:effectRef>
                          <a:fontRef idx="minor">
                            <a:schemeClr val="tx1"/>
                          </a:fontRef>
                        </wps:style>
                        <wps:bodyPr/>
                      </wps:wsp>
                      <wps:wsp>
                        <wps:cNvPr id="47" name="AutoShape 1102"/>
                        <wps:cNvSpPr>
                          <a:spLocks noChangeArrowheads="1"/>
                        </wps:cNvSpPr>
                        <wps:spPr bwMode="auto">
                          <a:xfrm>
                            <a:off x="5840083" y="586596"/>
                            <a:ext cx="1323975" cy="378460"/>
                          </a:xfrm>
                          <a:prstGeom prst="roundRect">
                            <a:avLst>
                              <a:gd name="adj" fmla="val 16667"/>
                            </a:avLst>
                          </a:prstGeom>
                        </wps:spPr>
                        <wps:style>
                          <a:lnRef idx="2">
                            <a:schemeClr val="accent3"/>
                          </a:lnRef>
                          <a:fillRef idx="1">
                            <a:schemeClr val="lt1"/>
                          </a:fillRef>
                          <a:effectRef idx="0">
                            <a:schemeClr val="accent3"/>
                          </a:effectRef>
                          <a:fontRef idx="minor">
                            <a:schemeClr val="dk1"/>
                          </a:fontRef>
                        </wps:style>
                        <wps:txbx>
                          <w:txbxContent>
                            <w:p>
                              <w:pPr>
                                <w:spacing w:after="0"/>
                                <w:jc w:val="center"/>
                                <w:rPr>
                                  <w:rFonts w:ascii="Tahoma" w:hAnsi="Tahoma" w:cs="Tahoma"/>
                                  <w:b/>
                                  <w:sz w:val="8"/>
                                  <w:szCs w:val="16"/>
                                </w:rPr>
                              </w:pPr>
                            </w:p>
                            <w:p>
                              <w:pPr>
                                <w:spacing w:after="0"/>
                                <w:jc w:val="center"/>
                                <w:rPr>
                                  <w:rFonts w:ascii="Tahoma" w:hAnsi="Tahoma" w:cs="Tahoma"/>
                                  <w:b/>
                                  <w:sz w:val="18"/>
                                  <w:szCs w:val="16"/>
                                </w:rPr>
                              </w:pPr>
                              <w:r>
                                <w:rPr>
                                  <w:rFonts w:ascii="Tahoma" w:hAnsi="Tahoma" w:cs="Tahoma"/>
                                  <w:b/>
                                  <w:sz w:val="18"/>
                                  <w:szCs w:val="16"/>
                                </w:rPr>
                                <w:t>SEKRETARIS</w:t>
                              </w:r>
                            </w:p>
                          </w:txbxContent>
                        </wps:txbx>
                        <wps:bodyPr rot="0" vert="horz" wrap="square" lIns="91440" tIns="45720" rIns="91440" bIns="45720" anchor="t" anchorCtr="0" upright="1">
                          <a:noAutofit/>
                        </wps:bodyPr>
                      </wps:wsp>
                      <wps:wsp>
                        <wps:cNvPr id="48" name="Straight Connector 48"/>
                        <wps:cNvCnPr/>
                        <wps:spPr>
                          <a:xfrm>
                            <a:off x="6461185" y="448574"/>
                            <a:ext cx="0" cy="133350"/>
                          </a:xfrm>
                          <a:prstGeom prst="line">
                            <a:avLst/>
                          </a:prstGeom>
                        </wps:spPr>
                        <wps:style>
                          <a:lnRef idx="2">
                            <a:schemeClr val="dk1"/>
                          </a:lnRef>
                          <a:fillRef idx="0">
                            <a:schemeClr val="dk1"/>
                          </a:fillRef>
                          <a:effectRef idx="1">
                            <a:schemeClr val="dk1"/>
                          </a:effectRef>
                          <a:fontRef idx="minor">
                            <a:schemeClr val="tx1"/>
                          </a:fontRef>
                        </wps:style>
                        <wps:bodyPr/>
                      </wps:wsp>
                      <wps:wsp>
                        <wps:cNvPr id="49" name="AutoShape 1090"/>
                        <wps:cNvSpPr>
                          <a:spLocks noChangeArrowheads="1"/>
                        </wps:cNvSpPr>
                        <wps:spPr bwMode="auto">
                          <a:xfrm>
                            <a:off x="3933428" y="1293914"/>
                            <a:ext cx="1467485" cy="472601"/>
                          </a:xfrm>
                          <a:prstGeom prst="roundRect">
                            <a:avLst>
                              <a:gd name="adj" fmla="val 16667"/>
                            </a:avLst>
                          </a:prstGeom>
                        </wps:spPr>
                        <wps:style>
                          <a:lnRef idx="2">
                            <a:schemeClr val="accent1"/>
                          </a:lnRef>
                          <a:fillRef idx="1">
                            <a:schemeClr val="lt1"/>
                          </a:fillRef>
                          <a:effectRef idx="0">
                            <a:schemeClr val="accent1"/>
                          </a:effectRef>
                          <a:fontRef idx="minor">
                            <a:schemeClr val="dk1"/>
                          </a:fontRef>
                        </wps:style>
                        <wps:txbx>
                          <w:txbxContent>
                            <w:p>
                              <w:pPr>
                                <w:spacing w:after="0"/>
                                <w:jc w:val="center"/>
                                <w:rPr>
                                  <w:rFonts w:ascii="Tahoma" w:hAnsi="Tahoma" w:cs="Tahoma"/>
                                  <w:b/>
                                  <w:sz w:val="16"/>
                                  <w:szCs w:val="16"/>
                                </w:rPr>
                              </w:pPr>
                              <w:r>
                                <w:rPr>
                                  <w:rFonts w:ascii="Tahoma" w:hAnsi="Tahoma" w:cs="Tahoma"/>
                                  <w:b/>
                                  <w:sz w:val="16"/>
                                  <w:szCs w:val="16"/>
                                </w:rPr>
                                <w:t>SUB BAGIAN</w:t>
                              </w:r>
                            </w:p>
                            <w:p>
                              <w:pPr>
                                <w:spacing w:after="0"/>
                                <w:jc w:val="center"/>
                                <w:rPr>
                                  <w:rFonts w:ascii="Tahoma" w:hAnsi="Tahoma" w:cs="Tahoma"/>
                                  <w:b/>
                                  <w:sz w:val="8"/>
                                  <w:szCs w:val="16"/>
                                  <w:lang w:val="id-ID"/>
                                </w:rPr>
                              </w:pPr>
                              <w:r>
                                <w:rPr>
                                  <w:rFonts w:ascii="Tahoma" w:hAnsi="Tahoma" w:cs="Tahoma"/>
                                  <w:b/>
                                  <w:sz w:val="16"/>
                                  <w:szCs w:val="16"/>
                                  <w:lang w:val="id-ID"/>
                                </w:rPr>
                                <w:t>KEUANGAN</w:t>
                              </w:r>
                            </w:p>
                          </w:txbxContent>
                        </wps:txbx>
                        <wps:bodyPr rot="0" vert="horz" wrap="square" lIns="91440" tIns="45720" rIns="91440" bIns="45720" anchor="t" anchorCtr="0" upright="1">
                          <a:noAutofit/>
                        </wps:bodyPr>
                      </wps:wsp>
                      <wps:wsp>
                        <wps:cNvPr id="50" name="Straight Connector 7"/>
                        <wps:cNvCnPr/>
                        <wps:spPr>
                          <a:xfrm>
                            <a:off x="6469811" y="1138687"/>
                            <a:ext cx="0" cy="152400"/>
                          </a:xfrm>
                          <a:prstGeom prst="line">
                            <a:avLst/>
                          </a:prstGeom>
                        </wps:spPr>
                        <wps:style>
                          <a:lnRef idx="2">
                            <a:schemeClr val="dk1"/>
                          </a:lnRef>
                          <a:fillRef idx="0">
                            <a:schemeClr val="dk1"/>
                          </a:fillRef>
                          <a:effectRef idx="1">
                            <a:schemeClr val="dk1"/>
                          </a:effectRef>
                          <a:fontRef idx="minor">
                            <a:schemeClr val="tx1"/>
                          </a:fontRef>
                        </wps:style>
                        <wps:bodyPr/>
                      </wps:wsp>
                      <wps:wsp>
                        <wps:cNvPr id="55" name="Straight Connector 9"/>
                        <wps:cNvCnPr/>
                        <wps:spPr>
                          <a:xfrm>
                            <a:off x="4675517" y="1130061"/>
                            <a:ext cx="0" cy="152400"/>
                          </a:xfrm>
                          <a:prstGeom prst="line">
                            <a:avLst/>
                          </a:prstGeom>
                        </wps:spPr>
                        <wps:style>
                          <a:lnRef idx="2">
                            <a:schemeClr val="dk1"/>
                          </a:lnRef>
                          <a:fillRef idx="0">
                            <a:schemeClr val="dk1"/>
                          </a:fillRef>
                          <a:effectRef idx="1">
                            <a:schemeClr val="dk1"/>
                          </a:effectRef>
                          <a:fontRef idx="minor">
                            <a:schemeClr val="tx1"/>
                          </a:fontRef>
                        </wps:style>
                        <wps:bodyPr/>
                      </wps:wsp>
                      <wps:wsp>
                        <wps:cNvPr id="58" name="Straight Connector 10"/>
                        <wps:cNvCnPr/>
                        <wps:spPr>
                          <a:xfrm>
                            <a:off x="6469811" y="966159"/>
                            <a:ext cx="0" cy="152400"/>
                          </a:xfrm>
                          <a:prstGeom prst="line">
                            <a:avLst/>
                          </a:prstGeom>
                        </wps:spPr>
                        <wps:style>
                          <a:lnRef idx="2">
                            <a:schemeClr val="dk1"/>
                          </a:lnRef>
                          <a:fillRef idx="0">
                            <a:schemeClr val="dk1"/>
                          </a:fillRef>
                          <a:effectRef idx="1">
                            <a:schemeClr val="dk1"/>
                          </a:effectRef>
                          <a:fontRef idx="minor">
                            <a:schemeClr val="tx1"/>
                          </a:fontRef>
                        </wps:style>
                        <wps:bodyPr/>
                      </wps:wsp>
                      <wps:wsp>
                        <wps:cNvPr id="60" name="AutoShape 1090"/>
                        <wps:cNvSpPr>
                          <a:spLocks noChangeArrowheads="1"/>
                        </wps:cNvSpPr>
                        <wps:spPr bwMode="auto">
                          <a:xfrm>
                            <a:off x="5658928" y="1285336"/>
                            <a:ext cx="1467485" cy="457200"/>
                          </a:xfrm>
                          <a:prstGeom prst="roundRect">
                            <a:avLst>
                              <a:gd name="adj" fmla="val 16667"/>
                            </a:avLst>
                          </a:prstGeom>
                        </wps:spPr>
                        <wps:style>
                          <a:lnRef idx="2">
                            <a:schemeClr val="accent6"/>
                          </a:lnRef>
                          <a:fillRef idx="1">
                            <a:schemeClr val="lt1"/>
                          </a:fillRef>
                          <a:effectRef idx="0">
                            <a:schemeClr val="accent6"/>
                          </a:effectRef>
                          <a:fontRef idx="minor">
                            <a:schemeClr val="dk1"/>
                          </a:fontRef>
                        </wps:style>
                        <wps:txbx>
                          <w:txbxContent>
                            <w:p>
                              <w:pPr>
                                <w:spacing w:after="0"/>
                                <w:jc w:val="center"/>
                                <w:rPr>
                                  <w:rFonts w:ascii="Tahoma" w:hAnsi="Tahoma" w:cs="Tahoma"/>
                                  <w:b/>
                                  <w:sz w:val="16"/>
                                  <w:szCs w:val="16"/>
                                </w:rPr>
                              </w:pPr>
                              <w:r>
                                <w:rPr>
                                  <w:rFonts w:ascii="Tahoma" w:hAnsi="Tahoma" w:cs="Tahoma"/>
                                  <w:b/>
                                  <w:sz w:val="16"/>
                                  <w:szCs w:val="16"/>
                                </w:rPr>
                                <w:t>SUB BAGIAN</w:t>
                              </w:r>
                            </w:p>
                            <w:p>
                              <w:pPr>
                                <w:spacing w:after="0"/>
                                <w:jc w:val="center"/>
                                <w:rPr>
                                  <w:rFonts w:ascii="Tahoma" w:hAnsi="Tahoma" w:cs="Tahoma"/>
                                  <w:b/>
                                  <w:sz w:val="8"/>
                                  <w:szCs w:val="16"/>
                                </w:rPr>
                              </w:pPr>
                              <w:r>
                                <w:rPr>
                                  <w:rFonts w:ascii="Tahoma" w:hAnsi="Tahoma" w:cs="Tahoma"/>
                                  <w:b/>
                                  <w:sz w:val="16"/>
                                  <w:szCs w:val="16"/>
                                </w:rPr>
                                <w:t>UMUM</w:t>
                              </w:r>
                              <w:r>
                                <w:rPr>
                                  <w:rFonts w:ascii="Tahoma" w:hAnsi="Tahoma" w:cs="Tahoma"/>
                                  <w:b/>
                                  <w:sz w:val="16"/>
                                  <w:szCs w:val="16"/>
                                  <w:lang w:val="id-ID"/>
                                </w:rPr>
                                <w:t xml:space="preserve"> </w:t>
                              </w:r>
                              <w:r>
                                <w:rPr>
                                  <w:rFonts w:ascii="Tahoma" w:hAnsi="Tahoma" w:cs="Tahoma"/>
                                  <w:b/>
                                  <w:sz w:val="16"/>
                                  <w:szCs w:val="16"/>
                                </w:rPr>
                                <w:t>KEPEGAWAIAN</w:t>
                              </w:r>
                            </w:p>
                          </w:txbxContent>
                        </wps:txbx>
                        <wps:bodyPr rot="0" vert="horz" wrap="square" lIns="91440" tIns="45720" rIns="91440" bIns="45720" anchor="t" anchorCtr="0" upright="1">
                          <a:noAutofit/>
                        </wps:bodyPr>
                      </wps:wsp>
                      <wps:wsp>
                        <wps:cNvPr id="61" name="AutoShape 1090"/>
                        <wps:cNvSpPr>
                          <a:spLocks noChangeArrowheads="1"/>
                        </wps:cNvSpPr>
                        <wps:spPr bwMode="auto">
                          <a:xfrm>
                            <a:off x="7418288" y="1293914"/>
                            <a:ext cx="1467485" cy="526458"/>
                          </a:xfrm>
                          <a:prstGeom prst="roundRect">
                            <a:avLst>
                              <a:gd name="adj" fmla="val 16667"/>
                            </a:avLst>
                          </a:prstGeom>
                        </wps:spPr>
                        <wps:style>
                          <a:lnRef idx="2">
                            <a:schemeClr val="dk1"/>
                          </a:lnRef>
                          <a:fillRef idx="1">
                            <a:schemeClr val="lt1"/>
                          </a:fillRef>
                          <a:effectRef idx="0">
                            <a:schemeClr val="dk1"/>
                          </a:effectRef>
                          <a:fontRef idx="minor">
                            <a:schemeClr val="dk1"/>
                          </a:fontRef>
                        </wps:style>
                        <wps:txbx>
                          <w:txbxContent>
                            <w:p>
                              <w:pPr>
                                <w:spacing w:after="0"/>
                                <w:jc w:val="center"/>
                                <w:rPr>
                                  <w:rFonts w:ascii="Tahoma" w:hAnsi="Tahoma" w:cs="Tahoma"/>
                                  <w:b/>
                                  <w:sz w:val="18"/>
                                  <w:szCs w:val="16"/>
                                </w:rPr>
                              </w:pPr>
                              <w:r>
                                <w:rPr>
                                  <w:rFonts w:ascii="Tahoma" w:hAnsi="Tahoma" w:cs="Tahoma"/>
                                  <w:b/>
                                  <w:sz w:val="18"/>
                                  <w:szCs w:val="16"/>
                                </w:rPr>
                                <w:t>SUB BAGIAN</w:t>
                              </w:r>
                            </w:p>
                            <w:p>
                              <w:pPr>
                                <w:spacing w:after="0"/>
                                <w:jc w:val="center"/>
                                <w:rPr>
                                  <w:rFonts w:ascii="Tahoma" w:hAnsi="Tahoma" w:cs="Tahoma"/>
                                  <w:b/>
                                  <w:sz w:val="10"/>
                                  <w:szCs w:val="16"/>
                                </w:rPr>
                              </w:pPr>
                              <w:r>
                                <w:rPr>
                                  <w:rFonts w:ascii="Tahoma" w:hAnsi="Tahoma" w:cs="Tahoma"/>
                                  <w:b/>
                                  <w:sz w:val="18"/>
                                  <w:szCs w:val="16"/>
                                </w:rPr>
                                <w:t>PROGRAM</w:t>
                              </w:r>
                            </w:p>
                          </w:txbxContent>
                        </wps:txbx>
                        <wps:bodyPr rot="0" vert="horz" wrap="square" lIns="91440" tIns="45720" rIns="91440" bIns="45720" anchor="t" anchorCtr="0" upright="1">
                          <a:noAutofit/>
                        </wps:bodyPr>
                      </wps:wsp>
                      <wps:wsp>
                        <wps:cNvPr id="3" name="Straight Connector 13"/>
                        <wps:cNvCnPr/>
                        <wps:spPr>
                          <a:xfrm>
                            <a:off x="8410755" y="1121434"/>
                            <a:ext cx="0" cy="152400"/>
                          </a:xfrm>
                          <a:prstGeom prst="line">
                            <a:avLst/>
                          </a:prstGeom>
                        </wps:spPr>
                        <wps:style>
                          <a:lnRef idx="2">
                            <a:schemeClr val="dk1"/>
                          </a:lnRef>
                          <a:fillRef idx="0">
                            <a:schemeClr val="dk1"/>
                          </a:fillRef>
                          <a:effectRef idx="1">
                            <a:schemeClr val="dk1"/>
                          </a:effectRef>
                          <a:fontRef idx="minor">
                            <a:schemeClr val="tx1"/>
                          </a:fontRef>
                        </wps:style>
                        <wps:bodyPr/>
                      </wps:wsp>
                      <wps:wsp>
                        <wps:cNvPr id="7" name="Straight Connector 14"/>
                        <wps:cNvCnPr/>
                        <wps:spPr>
                          <a:xfrm>
                            <a:off x="1423357" y="2251123"/>
                            <a:ext cx="6124575" cy="0"/>
                          </a:xfrm>
                          <a:prstGeom prst="line">
                            <a:avLst/>
                          </a:prstGeom>
                        </wps:spPr>
                        <wps:style>
                          <a:lnRef idx="2">
                            <a:schemeClr val="dk1"/>
                          </a:lnRef>
                          <a:fillRef idx="0">
                            <a:schemeClr val="dk1"/>
                          </a:fillRef>
                          <a:effectRef idx="1">
                            <a:schemeClr val="dk1"/>
                          </a:effectRef>
                          <a:fontRef idx="minor">
                            <a:schemeClr val="tx1"/>
                          </a:fontRef>
                        </wps:style>
                        <wps:bodyPr/>
                      </wps:wsp>
                      <wps:wsp>
                        <wps:cNvPr id="449" name="AutoShape 1067"/>
                        <wps:cNvSpPr>
                          <a:spLocks noChangeArrowheads="1"/>
                        </wps:cNvSpPr>
                        <wps:spPr bwMode="auto">
                          <a:xfrm>
                            <a:off x="345056" y="2423468"/>
                            <a:ext cx="2133600" cy="646390"/>
                          </a:xfrm>
                          <a:prstGeom prst="roundRect">
                            <a:avLst>
                              <a:gd name="adj" fmla="val 16667"/>
                            </a:avLst>
                          </a:prstGeom>
                        </wps:spPr>
                        <wps:style>
                          <a:lnRef idx="2">
                            <a:schemeClr val="accent3"/>
                          </a:lnRef>
                          <a:fillRef idx="1">
                            <a:schemeClr val="lt1"/>
                          </a:fillRef>
                          <a:effectRef idx="0">
                            <a:schemeClr val="accent3"/>
                          </a:effectRef>
                          <a:fontRef idx="minor">
                            <a:schemeClr val="dk1"/>
                          </a:fontRef>
                        </wps:style>
                        <wps:txbx>
                          <w:txbxContent>
                            <w:p>
                              <w:pPr>
                                <w:spacing w:after="0"/>
                                <w:jc w:val="center"/>
                                <w:rPr>
                                  <w:rFonts w:ascii="Tahoma" w:hAnsi="Tahoma" w:cs="Tahoma"/>
                                  <w:b/>
                                  <w:sz w:val="6"/>
                                  <w:szCs w:val="13"/>
                                </w:rPr>
                              </w:pPr>
                            </w:p>
                            <w:p>
                              <w:pPr>
                                <w:spacing w:after="0"/>
                                <w:jc w:val="center"/>
                                <w:rPr>
                                  <w:rFonts w:ascii="Tahoma" w:hAnsi="Tahoma" w:cs="Tahoma"/>
                                  <w:b/>
                                  <w:sz w:val="16"/>
                                  <w:szCs w:val="13"/>
                                </w:rPr>
                              </w:pPr>
                              <w:r>
                                <w:rPr>
                                  <w:rFonts w:ascii="Tahoma" w:hAnsi="Tahoma" w:cs="Tahoma"/>
                                  <w:b/>
                                  <w:sz w:val="16"/>
                                  <w:szCs w:val="13"/>
                                </w:rPr>
                                <w:t>BIDANG</w:t>
                              </w:r>
                            </w:p>
                            <w:p>
                              <w:pPr>
                                <w:spacing w:after="0"/>
                                <w:jc w:val="center"/>
                                <w:rPr>
                                  <w:rFonts w:ascii="Tahoma" w:hAnsi="Tahoma" w:cs="Tahoma"/>
                                  <w:b/>
                                  <w:sz w:val="16"/>
                                  <w:szCs w:val="13"/>
                                </w:rPr>
                              </w:pPr>
                              <w:r>
                                <w:rPr>
                                  <w:rFonts w:ascii="Tahoma" w:hAnsi="Tahoma" w:cs="Tahoma"/>
                                  <w:b/>
                                  <w:sz w:val="16"/>
                                  <w:szCs w:val="13"/>
                                </w:rPr>
                                <w:t>PERINDUSTRIAN</w:t>
                              </w:r>
                            </w:p>
                          </w:txbxContent>
                        </wps:txbx>
                        <wps:bodyPr rot="0" vert="horz" wrap="square" lIns="91440" tIns="45720" rIns="91440" bIns="45720" anchor="t" anchorCtr="0" upright="1">
                          <a:noAutofit/>
                        </wps:bodyPr>
                      </wps:wsp>
                      <wps:wsp>
                        <wps:cNvPr id="450" name="Straight Connector 15"/>
                        <wps:cNvCnPr/>
                        <wps:spPr>
                          <a:xfrm>
                            <a:off x="1406107" y="2259749"/>
                            <a:ext cx="0" cy="152400"/>
                          </a:xfrm>
                          <a:prstGeom prst="line">
                            <a:avLst/>
                          </a:prstGeom>
                        </wps:spPr>
                        <wps:style>
                          <a:lnRef idx="2">
                            <a:schemeClr val="dk1"/>
                          </a:lnRef>
                          <a:fillRef idx="0">
                            <a:schemeClr val="dk1"/>
                          </a:fillRef>
                          <a:effectRef idx="1">
                            <a:schemeClr val="dk1"/>
                          </a:effectRef>
                          <a:fontRef idx="minor">
                            <a:schemeClr val="tx1"/>
                          </a:fontRef>
                        </wps:style>
                        <wps:bodyPr/>
                      </wps:wsp>
                      <wps:wsp>
                        <wps:cNvPr id="451" name="Straight Connector 16"/>
                        <wps:cNvCnPr/>
                        <wps:spPr>
                          <a:xfrm>
                            <a:off x="3760505" y="2251122"/>
                            <a:ext cx="0" cy="152400"/>
                          </a:xfrm>
                          <a:prstGeom prst="line">
                            <a:avLst/>
                          </a:prstGeom>
                        </wps:spPr>
                        <wps:style>
                          <a:lnRef idx="2">
                            <a:schemeClr val="dk1"/>
                          </a:lnRef>
                          <a:fillRef idx="0">
                            <a:schemeClr val="dk1"/>
                          </a:fillRef>
                          <a:effectRef idx="1">
                            <a:schemeClr val="dk1"/>
                          </a:effectRef>
                          <a:fontRef idx="minor">
                            <a:schemeClr val="tx1"/>
                          </a:fontRef>
                        </wps:style>
                        <wps:bodyPr/>
                      </wps:wsp>
                      <wps:wsp>
                        <wps:cNvPr id="453" name="AutoShape 1078"/>
                        <wps:cNvSpPr>
                          <a:spLocks noChangeArrowheads="1"/>
                        </wps:cNvSpPr>
                        <wps:spPr bwMode="auto">
                          <a:xfrm>
                            <a:off x="3176137" y="2414964"/>
                            <a:ext cx="2409825" cy="633349"/>
                          </a:xfrm>
                          <a:prstGeom prst="roundRect">
                            <a:avLst>
                              <a:gd name="adj" fmla="val 16667"/>
                            </a:avLst>
                          </a:prstGeom>
                        </wps:spPr>
                        <wps:style>
                          <a:lnRef idx="2">
                            <a:schemeClr val="accent2"/>
                          </a:lnRef>
                          <a:fillRef idx="1">
                            <a:schemeClr val="lt1"/>
                          </a:fillRef>
                          <a:effectRef idx="0">
                            <a:schemeClr val="accent2"/>
                          </a:effectRef>
                          <a:fontRef idx="minor">
                            <a:schemeClr val="dk1"/>
                          </a:fontRef>
                        </wps:style>
                        <wps:txbx>
                          <w:txbxContent>
                            <w:p>
                              <w:pPr>
                                <w:spacing w:after="0"/>
                                <w:jc w:val="center"/>
                                <w:rPr>
                                  <w:rFonts w:ascii="Tahoma" w:hAnsi="Tahoma" w:cs="Tahoma"/>
                                  <w:b/>
                                  <w:sz w:val="16"/>
                                  <w:szCs w:val="13"/>
                                </w:rPr>
                              </w:pPr>
                              <w:r>
                                <w:rPr>
                                  <w:rFonts w:ascii="Tahoma" w:hAnsi="Tahoma" w:cs="Tahoma"/>
                                  <w:b/>
                                  <w:sz w:val="16"/>
                                  <w:szCs w:val="13"/>
                                </w:rPr>
                                <w:t>BIDANG</w:t>
                              </w:r>
                            </w:p>
                            <w:p>
                              <w:pPr>
                                <w:spacing w:after="0"/>
                                <w:jc w:val="center"/>
                                <w:rPr>
                                  <w:rFonts w:ascii="Tahoma" w:hAnsi="Tahoma" w:cs="Tahoma"/>
                                  <w:b/>
                                  <w:sz w:val="16"/>
                                  <w:szCs w:val="13"/>
                                </w:rPr>
                              </w:pPr>
                              <w:r>
                                <w:rPr>
                                  <w:rFonts w:ascii="Tahoma" w:hAnsi="Tahoma" w:cs="Tahoma"/>
                                  <w:b/>
                                  <w:sz w:val="16"/>
                                  <w:szCs w:val="13"/>
                                </w:rPr>
                                <w:t>PERPERDAGANGAN</w:t>
                              </w:r>
                            </w:p>
                            <w:p>
                              <w:pPr>
                                <w:spacing w:after="0"/>
                                <w:jc w:val="center"/>
                                <w:rPr>
                                  <w:rFonts w:ascii="Tahoma" w:hAnsi="Tahoma" w:cs="Tahoma"/>
                                  <w:b/>
                                  <w:sz w:val="15"/>
                                  <w:szCs w:val="13"/>
                                </w:rPr>
                              </w:pPr>
                            </w:p>
                          </w:txbxContent>
                        </wps:txbx>
                        <wps:bodyPr rot="0" vert="horz" wrap="square" lIns="91440" tIns="45720" rIns="91440" bIns="45720" anchor="t" anchorCtr="0" upright="1">
                          <a:noAutofit/>
                        </wps:bodyPr>
                      </wps:wsp>
                      <wps:wsp>
                        <wps:cNvPr id="456" name="Straight Connector 17"/>
                        <wps:cNvCnPr/>
                        <wps:spPr>
                          <a:xfrm>
                            <a:off x="7539487" y="2259749"/>
                            <a:ext cx="0" cy="152400"/>
                          </a:xfrm>
                          <a:prstGeom prst="line">
                            <a:avLst/>
                          </a:prstGeom>
                        </wps:spPr>
                        <wps:style>
                          <a:lnRef idx="2">
                            <a:schemeClr val="dk1"/>
                          </a:lnRef>
                          <a:fillRef idx="0">
                            <a:schemeClr val="dk1"/>
                          </a:fillRef>
                          <a:effectRef idx="1">
                            <a:schemeClr val="dk1"/>
                          </a:effectRef>
                          <a:fontRef idx="minor">
                            <a:schemeClr val="tx1"/>
                          </a:fontRef>
                        </wps:style>
                        <wps:bodyPr/>
                      </wps:wsp>
                      <wps:wsp>
                        <wps:cNvPr id="457" name="AutoShape 1100"/>
                        <wps:cNvSpPr>
                          <a:spLocks noChangeArrowheads="1"/>
                        </wps:cNvSpPr>
                        <wps:spPr bwMode="auto">
                          <a:xfrm>
                            <a:off x="6244809" y="2423529"/>
                            <a:ext cx="2600325" cy="646248"/>
                          </a:xfrm>
                          <a:prstGeom prst="roundRect">
                            <a:avLst>
                              <a:gd name="adj" fmla="val 16667"/>
                            </a:avLst>
                          </a:prstGeom>
                        </wps:spPr>
                        <wps:style>
                          <a:lnRef idx="2">
                            <a:schemeClr val="accent1"/>
                          </a:lnRef>
                          <a:fillRef idx="1">
                            <a:schemeClr val="lt1"/>
                          </a:fillRef>
                          <a:effectRef idx="0">
                            <a:schemeClr val="accent1"/>
                          </a:effectRef>
                          <a:fontRef idx="minor">
                            <a:schemeClr val="dk1"/>
                          </a:fontRef>
                        </wps:style>
                        <wps:txbx>
                          <w:txbxContent>
                            <w:p>
                              <w:pPr>
                                <w:spacing w:after="0"/>
                                <w:jc w:val="center"/>
                                <w:rPr>
                                  <w:rFonts w:ascii="Tahoma" w:hAnsi="Tahoma" w:cs="Tahoma"/>
                                  <w:b/>
                                  <w:sz w:val="16"/>
                                  <w:szCs w:val="13"/>
                                </w:rPr>
                              </w:pPr>
                              <w:r>
                                <w:rPr>
                                  <w:rFonts w:ascii="Tahoma" w:hAnsi="Tahoma" w:cs="Tahoma"/>
                                  <w:b/>
                                  <w:sz w:val="16"/>
                                  <w:szCs w:val="13"/>
                                </w:rPr>
                                <w:t>BIDANG</w:t>
                              </w:r>
                            </w:p>
                            <w:p>
                              <w:pPr>
                                <w:spacing w:after="0"/>
                                <w:jc w:val="center"/>
                                <w:rPr>
                                  <w:rFonts w:ascii="Tahoma" w:hAnsi="Tahoma" w:cs="Tahoma"/>
                                  <w:b/>
                                  <w:sz w:val="16"/>
                                  <w:szCs w:val="13"/>
                                </w:rPr>
                              </w:pPr>
                              <w:r>
                                <w:rPr>
                                  <w:rFonts w:ascii="Tahoma" w:hAnsi="Tahoma" w:cs="Tahoma"/>
                                  <w:b/>
                                  <w:sz w:val="16"/>
                                  <w:szCs w:val="13"/>
                                </w:rPr>
                                <w:t>KOPERASI DAN USAHA KECIL MENENGAH</w:t>
                              </w:r>
                            </w:p>
                            <w:p>
                              <w:pPr>
                                <w:spacing w:after="0"/>
                                <w:jc w:val="both"/>
                                <w:rPr>
                                  <w:rFonts w:ascii="Tahoma" w:hAnsi="Tahoma" w:cs="Tahoma"/>
                                  <w:b/>
                                  <w:sz w:val="13"/>
                                  <w:szCs w:val="13"/>
                                </w:rPr>
                              </w:pPr>
                            </w:p>
                          </w:txbxContent>
                        </wps:txbx>
                        <wps:bodyPr rot="0" vert="horz" wrap="square" lIns="91440" tIns="45720" rIns="91440" bIns="45720" anchor="t" anchorCtr="0" upright="1">
                          <a:noAutofit/>
                        </wps:bodyPr>
                      </wps:wsp>
                      <wps:wsp>
                        <wps:cNvPr id="484" name="Straight Connector 48"/>
                        <wps:cNvCnPr/>
                        <wps:spPr>
                          <a:xfrm>
                            <a:off x="3761117" y="319178"/>
                            <a:ext cx="0" cy="133350"/>
                          </a:xfrm>
                          <a:prstGeom prst="line">
                            <a:avLst/>
                          </a:prstGeom>
                        </wps:spPr>
                        <wps:style>
                          <a:lnRef idx="2">
                            <a:schemeClr val="dk1"/>
                          </a:lnRef>
                          <a:fillRef idx="0">
                            <a:schemeClr val="dk1"/>
                          </a:fillRef>
                          <a:effectRef idx="1">
                            <a:schemeClr val="dk1"/>
                          </a:effectRef>
                          <a:fontRef idx="minor">
                            <a:schemeClr val="tx1"/>
                          </a:fontRef>
                        </wps:style>
                        <wps:bodyPr/>
                      </wps:wsp>
                      <wps:wsp>
                        <wps:cNvPr id="486" name="AutoShape 1012"/>
                        <wps:cNvSpPr>
                          <a:spLocks noChangeArrowheads="1"/>
                        </wps:cNvSpPr>
                        <wps:spPr bwMode="auto">
                          <a:xfrm>
                            <a:off x="3286008" y="3640747"/>
                            <a:ext cx="1056290" cy="315311"/>
                          </a:xfrm>
                          <a:prstGeom prst="roundRect">
                            <a:avLst>
                              <a:gd name="adj" fmla="val 16667"/>
                            </a:avLst>
                          </a:prstGeom>
                        </wps:spPr>
                        <wps:style>
                          <a:lnRef idx="2">
                            <a:schemeClr val="dk1"/>
                          </a:lnRef>
                          <a:fillRef idx="1">
                            <a:schemeClr val="lt1"/>
                          </a:fillRef>
                          <a:effectRef idx="0">
                            <a:schemeClr val="dk1"/>
                          </a:effectRef>
                          <a:fontRef idx="minor">
                            <a:schemeClr val="dk1"/>
                          </a:fontRef>
                        </wps:style>
                        <wps:txbx>
                          <w:txbxContent>
                            <w:p>
                              <w:pPr>
                                <w:jc w:val="center"/>
                                <w:rPr>
                                  <w:rFonts w:ascii="Tahoma" w:hAnsi="Tahoma" w:cs="Tahoma"/>
                                  <w:b/>
                                  <w:szCs w:val="16"/>
                                </w:rPr>
                              </w:pPr>
                              <w:r>
                                <w:rPr>
                                  <w:rFonts w:ascii="Tahoma" w:hAnsi="Tahoma" w:cs="Tahoma"/>
                                  <w:b/>
                                  <w:szCs w:val="16"/>
                                </w:rPr>
                                <w:t>UPTD</w:t>
                              </w:r>
                            </w:p>
                          </w:txbxContent>
                        </wps:txbx>
                        <wps:bodyPr rot="0" vert="horz" wrap="square" lIns="91440" tIns="45720" rIns="91440" bIns="45720" anchor="t" anchorCtr="0" upright="1">
                          <a:noAutofit/>
                        </wps:bodyPr>
                      </wps:wsp>
                      <wps:wsp>
                        <wps:cNvPr id="97" name="Straight Connector 14"/>
                        <wps:cNvCnPr/>
                        <wps:spPr>
                          <a:xfrm>
                            <a:off x="4651447" y="1098515"/>
                            <a:ext cx="3770940" cy="0"/>
                          </a:xfrm>
                          <a:prstGeom prst="line">
                            <a:avLst/>
                          </a:prstGeom>
                        </wps:spPr>
                        <wps:style>
                          <a:lnRef idx="2">
                            <a:schemeClr val="dk1"/>
                          </a:lnRef>
                          <a:fillRef idx="0">
                            <a:schemeClr val="dk1"/>
                          </a:fillRef>
                          <a:effectRef idx="1">
                            <a:schemeClr val="dk1"/>
                          </a:effectRef>
                          <a:fontRef idx="minor">
                            <a:schemeClr val="tx1"/>
                          </a:fontRef>
                        </wps:style>
                        <wps:bodyPr/>
                      </wps:wsp>
                      <wps:wsp>
                        <wps:cNvPr id="72" name="Straight Connector 16"/>
                        <wps:cNvCnPr/>
                        <wps:spPr>
                          <a:xfrm>
                            <a:off x="3761053" y="471565"/>
                            <a:ext cx="0" cy="1788100"/>
                          </a:xfrm>
                          <a:prstGeom prst="line">
                            <a:avLst/>
                          </a:prstGeom>
                        </wps:spPr>
                        <wps:style>
                          <a:lnRef idx="2">
                            <a:schemeClr val="dk1"/>
                          </a:lnRef>
                          <a:fillRef idx="0">
                            <a:schemeClr val="dk1"/>
                          </a:fillRef>
                          <a:effectRef idx="1">
                            <a:schemeClr val="dk1"/>
                          </a:effectRef>
                          <a:fontRef idx="minor">
                            <a:schemeClr val="tx1"/>
                          </a:fontRef>
                        </wps:style>
                        <wps:bodyPr/>
                      </wps:wsp>
                      <wps:wsp>
                        <wps:cNvPr id="73" name="Straight Connector 16"/>
                        <wps:cNvCnPr/>
                        <wps:spPr>
                          <a:xfrm>
                            <a:off x="3780888" y="3090887"/>
                            <a:ext cx="0" cy="539085"/>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anchor>
            </w:drawing>
          </mc:Choice>
          <mc:Fallback>
            <w:pict>
              <v:group id="_x0000_s1026" o:spid="_x0000_s1026" o:spt="203" style="position:absolute;left:0pt;margin-left:85.95pt;margin-top:1.75pt;height:279.2pt;width:562.25pt;z-index:251672576;mso-width-relative:page;mso-height-relative:page;" coordorigin="345056,-53855" coordsize="8540717,4009913" o:gfxdata="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">
                <o:lock v:ext="edit" aspectratio="f"/>
                <v:roundrect id="AutoShape 1012" o:spid="_x0000_s1026" o:spt="2" style="position:absolute;left:2891430;top:-53855;height:344686;width:1646062;" fillcolor="#2C5D98 [3216]" filled="t" stroked="t" coordsize="21600,21600" arcsize="0.166666666666667" o:gfxdata="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cU7Ba5AAAA2gAA&#10;AA8AAAAAAAAAAQAgAAAAIgAAAGRycy9kb3ducmV2LnhtbFBLAQIUABQAAAAIAIdO4kAzLwWeOwAA&#10;ADkAAAAQAAAAAAAAAAEAIAAAAAgBAABkcnMvc2hhcGV4bWwueG1sUEsFBgAAAAAGAAYAWwEAALID&#10;AAAAAA==&#10;">
                  <v:fill type="gradient" on="t" color2="#3A7CCB [3216]" colors="0f #2C5D98;52429f #3C7BC7;65536f #3A7CCB" angle="180" focus="100%" focussize="0,0" rotate="t">
                    <o:fill type="gradientUnscaled" v:ext="backwardCompatible"/>
                  </v:fill>
                  <v:stroke color="#4A7EBB [3204]" joinstyle="round"/>
                  <v:imagedata o:title=""/>
                  <o:lock v:ext="edit" aspectratio="f"/>
                  <v:shadow on="t" color="#000000" opacity="22937f" offset="0pt,1.81102362204724pt" origin="0f,32768f" matrix="65536f,0f,0f,65536f"/>
                  <v:textbox>
                    <w:txbxContent>
                      <w:p>
                        <w:pPr>
                          <w:jc w:val="center"/>
                          <w:rPr>
                            <w:rFonts w:ascii="Tahoma" w:hAnsi="Tahoma" w:cs="Tahoma"/>
                            <w:b/>
                            <w:szCs w:val="16"/>
                          </w:rPr>
                        </w:pPr>
                        <w:r>
                          <w:rPr>
                            <w:rFonts w:ascii="Tahoma" w:hAnsi="Tahoma" w:cs="Tahoma"/>
                            <w:b/>
                            <w:szCs w:val="16"/>
                          </w:rPr>
                          <w:t>KEPALA DINAS</w:t>
                        </w:r>
                      </w:p>
                    </w:txbxContent>
                  </v:textbox>
                </v:roundrect>
                <v:roundrect id="AutoShape 1069" o:spid="_x0000_s1026" o:spt="2" style="position:absolute;left:578226;top:578080;height:648451;width:1552443;" fillcolor="#FFFFFF [3201]" filled="t" stroked="t" coordsize="21600,21600" arcsize="0.166666666666667" o:gfxdata="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bP1QugAAANsA&#10;AAAPAAAAAAAAAAEAIAAAACIAAABkcnMvZG93bnJldi54bWxQSwECFAAUAAAACACHTuJAMy8FnjsA&#10;AAA5AAAAEAAAAAAAAAABACAAAAAJAQAAZHJzL3NoYXBleG1sLnhtbFBLBQYAAAAABgAGAFsBAACz&#10;AwAAAAA=&#10;">
                  <v:fill on="t" focussize="0,0"/>
                  <v:stroke weight="2pt" color="#C0504D [3205]" joinstyle="round"/>
                  <v:imagedata o:title=""/>
                  <o:lock v:ext="edit" aspectratio="f"/>
                  <v:textbox>
                    <w:txbxContent>
                      <w:p>
                        <w:pPr>
                          <w:jc w:val="center"/>
                          <w:rPr>
                            <w:rFonts w:ascii="Tahoma" w:hAnsi="Tahoma" w:cs="Tahoma"/>
                            <w:b/>
                            <w:sz w:val="16"/>
                            <w:szCs w:val="16"/>
                          </w:rPr>
                        </w:pPr>
                        <w:r>
                          <w:rPr>
                            <w:rFonts w:ascii="Tahoma" w:hAnsi="Tahoma" w:cs="Tahoma"/>
                            <w:b/>
                            <w:sz w:val="16"/>
                            <w:szCs w:val="16"/>
                          </w:rPr>
                          <w:t>KELOMPOK JABATAN FUNGSIONAL</w:t>
                        </w:r>
                      </w:p>
                    </w:txbxContent>
                  </v:textbox>
                </v:roundrect>
                <v:line id="Straight Connector 4" o:spid="_x0000_s1026" o:spt="20" style="position:absolute;left:1345721;top:448574;height:133350;width:0;" filled="f" stroked="t" coordsize="21600,21600" o:gfxdata="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ktWs+&#10;wAAAANsAAAAPAAAAAAAAAAEAIAAAACIAAABkcnMvZG93bnJldi54bWxQSwECFAAUAAAACACHTuJA&#10;My8FnjsAAAA5AAAAEAAAAAAAAAABACAAAAAPAQAAZHJzL3NoYXBleG1sLnhtbFBLBQYAAAAABgAG&#10;AFsBAAC5AwAAAAA=&#10;">
                  <v:fill on="f" focussize="0,0"/>
                  <v:stroke weight="2pt" color="#000000 [3200]" joinstyle="round"/>
                  <v:imagedata o:title=""/>
                  <o:lock v:ext="edit" aspectratio="f"/>
                  <v:shadow on="t" color="#000000" opacity="24903f" offset="0pt,1.5748031496063pt" origin="0f,32768f" matrix="65536f,0f,0f,65536f"/>
                </v:line>
                <v:line id="Straight Connector 5" o:spid="_x0000_s1026" o:spt="20" style="position:absolute;left:1322936;top:448574;height:0;width:5114925;" filled="f" stroked="t" coordsize="21600,21600" o:gfxdata="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Rn9Um/&#10;AAAA2wAAAA8AAAAAAAAAAQAgAAAAIgAAAGRycy9kb3ducmV2LnhtbFBLAQIUABQAAAAIAIdO4kAz&#10;LwWeOwAAADkAAAAQAAAAAAAAAAEAIAAAAA4BAABkcnMvc2hhcGV4bWwueG1sUEsFBgAAAAAGAAYA&#10;WwEAALgDAAAAAA==&#10;">
                  <v:fill on="f" focussize="0,0"/>
                  <v:stroke weight="2pt" color="#000000 [3200]" joinstyle="round"/>
                  <v:imagedata o:title=""/>
                  <o:lock v:ext="edit" aspectratio="f"/>
                  <v:shadow on="t" color="#000000" opacity="24903f" offset="0pt,1.5748031496063pt" origin="0f,32768f" matrix="65536f,0f,0f,65536f"/>
                </v:line>
                <v:roundrect id="AutoShape 1102" o:spid="_x0000_s1026" o:spt="2" style="position:absolute;left:5840083;top:586596;height:378460;width:1323975;" fillcolor="#FFFFFF [3201]" filled="t" stroked="t" coordsize="21600,21600" arcsize="0.166666666666667" o:gfxdata="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R6OqvQAA&#10;ANsAAAAPAAAAAAAAAAEAIAAAACIAAABkcnMvZG93bnJldi54bWxQSwECFAAUAAAACACHTuJAMy8F&#10;njsAAAA5AAAAEAAAAAAAAAABACAAAAAMAQAAZHJzL3NoYXBleG1sLnhtbFBLBQYAAAAABgAGAFsB&#10;AAC2AwAAAAA=&#10;">
                  <v:fill on="t" focussize="0,0"/>
                  <v:stroke weight="2pt" color="#9BBB59 [3206]" joinstyle="round"/>
                  <v:imagedata o:title=""/>
                  <o:lock v:ext="edit" aspectratio="f"/>
                  <v:textbox>
                    <w:txbxContent>
                      <w:p>
                        <w:pPr>
                          <w:spacing w:after="0"/>
                          <w:jc w:val="center"/>
                          <w:rPr>
                            <w:rFonts w:ascii="Tahoma" w:hAnsi="Tahoma" w:cs="Tahoma"/>
                            <w:b/>
                            <w:sz w:val="8"/>
                            <w:szCs w:val="16"/>
                          </w:rPr>
                        </w:pPr>
                      </w:p>
                      <w:p>
                        <w:pPr>
                          <w:spacing w:after="0"/>
                          <w:jc w:val="center"/>
                          <w:rPr>
                            <w:rFonts w:ascii="Tahoma" w:hAnsi="Tahoma" w:cs="Tahoma"/>
                            <w:b/>
                            <w:sz w:val="18"/>
                            <w:szCs w:val="16"/>
                          </w:rPr>
                        </w:pPr>
                        <w:r>
                          <w:rPr>
                            <w:rFonts w:ascii="Tahoma" w:hAnsi="Tahoma" w:cs="Tahoma"/>
                            <w:b/>
                            <w:sz w:val="18"/>
                            <w:szCs w:val="16"/>
                          </w:rPr>
                          <w:t>SEKRETARIS</w:t>
                        </w:r>
                      </w:p>
                    </w:txbxContent>
                  </v:textbox>
                </v:roundrect>
                <v:line id="_x0000_s1026" o:spid="_x0000_s1026" o:spt="20" style="position:absolute;left:6461185;top:448574;height:133350;width:0;" filled="f" stroked="t" coordsize="21600,21600" o:gfxdata="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WPwqO8AAAA&#10;2wAAAA8AAAAAAAAAAQAgAAAAIgAAAGRycy9kb3ducmV2LnhtbFBLAQIUABQAAAAIAIdO4kAzLwWe&#10;OwAAADkAAAAQAAAAAAAAAAEAIAAAAAsBAABkcnMvc2hhcGV4bWwueG1sUEsFBgAAAAAGAAYAWwEA&#10;ALUDAAAAAA==&#10;">
                  <v:fill on="f" focussize="0,0"/>
                  <v:stroke weight="2pt" color="#000000 [3200]" joinstyle="round"/>
                  <v:imagedata o:title=""/>
                  <o:lock v:ext="edit" aspectratio="f"/>
                  <v:shadow on="t" color="#000000" opacity="24903f" offset="0pt,1.5748031496063pt" origin="0f,32768f" matrix="65536f,0f,0f,65536f"/>
                </v:line>
                <v:roundrect id="AutoShape 1090" o:spid="_x0000_s1026" o:spt="2" style="position:absolute;left:3933428;top:1293914;height:472601;width:1467485;" fillcolor="#FFFFFF [3201]" filled="t" stroked="t" coordsize="21600,21600" arcsize="0.166666666666667" o:gfxdata="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nRBzvQAA&#10;ANsAAAAPAAAAAAAAAAEAIAAAACIAAABkcnMvZG93bnJldi54bWxQSwECFAAUAAAACACHTuJAMy8F&#10;njsAAAA5AAAAEAAAAAAAAAABACAAAAAMAQAAZHJzL3NoYXBleG1sLnhtbFBLBQYAAAAABgAGAFsB&#10;AAC2AwAAAAA=&#10;">
                  <v:fill on="t" focussize="0,0"/>
                  <v:stroke weight="2pt" color="#4F81BD [3204]" joinstyle="round"/>
                  <v:imagedata o:title=""/>
                  <o:lock v:ext="edit" aspectratio="f"/>
                  <v:textbox>
                    <w:txbxContent>
                      <w:p>
                        <w:pPr>
                          <w:spacing w:after="0"/>
                          <w:jc w:val="center"/>
                          <w:rPr>
                            <w:rFonts w:ascii="Tahoma" w:hAnsi="Tahoma" w:cs="Tahoma"/>
                            <w:b/>
                            <w:sz w:val="16"/>
                            <w:szCs w:val="16"/>
                          </w:rPr>
                        </w:pPr>
                        <w:r>
                          <w:rPr>
                            <w:rFonts w:ascii="Tahoma" w:hAnsi="Tahoma" w:cs="Tahoma"/>
                            <w:b/>
                            <w:sz w:val="16"/>
                            <w:szCs w:val="16"/>
                          </w:rPr>
                          <w:t>SUB BAGIAN</w:t>
                        </w:r>
                      </w:p>
                      <w:p>
                        <w:pPr>
                          <w:spacing w:after="0"/>
                          <w:jc w:val="center"/>
                          <w:rPr>
                            <w:rFonts w:ascii="Tahoma" w:hAnsi="Tahoma" w:cs="Tahoma"/>
                            <w:b/>
                            <w:sz w:val="8"/>
                            <w:szCs w:val="16"/>
                            <w:lang w:val="id-ID"/>
                          </w:rPr>
                        </w:pPr>
                        <w:r>
                          <w:rPr>
                            <w:rFonts w:ascii="Tahoma" w:hAnsi="Tahoma" w:cs="Tahoma"/>
                            <w:b/>
                            <w:sz w:val="16"/>
                            <w:szCs w:val="16"/>
                            <w:lang w:val="id-ID"/>
                          </w:rPr>
                          <w:t>KEUANGAN</w:t>
                        </w:r>
                      </w:p>
                    </w:txbxContent>
                  </v:textbox>
                </v:roundrect>
                <v:line id="Straight Connector 7" o:spid="_x0000_s1026" o:spt="20" style="position:absolute;left:6469811;top:1138687;height:152400;width:0;" filled="f" stroked="t" coordsize="21600,21600" o:gfxdata="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4gWHi8AAAA&#10;2wAAAA8AAAAAAAAAAQAgAAAAIgAAAGRycy9kb3ducmV2LnhtbFBLAQIUABQAAAAIAIdO4kAzLwWe&#10;OwAAADkAAAAQAAAAAAAAAAEAIAAAAAsBAABkcnMvc2hhcGV4bWwueG1sUEsFBgAAAAAGAAYAWwEA&#10;ALUDAAAAAA==&#10;">
                  <v:fill on="f" focussize="0,0"/>
                  <v:stroke weight="2pt" color="#000000 [3200]" joinstyle="round"/>
                  <v:imagedata o:title=""/>
                  <o:lock v:ext="edit" aspectratio="f"/>
                  <v:shadow on="t" color="#000000" opacity="24903f" offset="0pt,1.5748031496063pt" origin="0f,32768f" matrix="65536f,0f,0f,65536f"/>
                </v:line>
                <v:line id="Straight Connector 9" o:spid="_x0000_s1026" o:spt="20" style="position:absolute;left:4675517;top:1130061;height:152400;width:0;" filled="f" stroked="t" coordsize="21600,21600" o:gfxdata="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5X++C/&#10;AAAA2wAAAA8AAAAAAAAAAQAgAAAAIgAAAGRycy9kb3ducmV2LnhtbFBLAQIUABQAAAAIAIdO4kAz&#10;LwWeOwAAADkAAAAQAAAAAAAAAAEAIAAAAA4BAABkcnMvc2hhcGV4bWwueG1sUEsFBgAAAAAGAAYA&#10;WwEAALgDAAAAAA==&#10;">
                  <v:fill on="f" focussize="0,0"/>
                  <v:stroke weight="2pt" color="#000000 [3200]" joinstyle="round"/>
                  <v:imagedata o:title=""/>
                  <o:lock v:ext="edit" aspectratio="f"/>
                  <v:shadow on="t" color="#000000" opacity="24903f" offset="0pt,1.5748031496063pt" origin="0f,32768f" matrix="65536f,0f,0f,65536f"/>
                </v:line>
                <v:line id="Straight Connector 10" o:spid="_x0000_s1026" o:spt="20" style="position:absolute;left:6469811;top:966159;height:152400;width:0;" filled="f" stroked="t" coordsize="21600,21600" o:gfxdata="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BWVH68AAAA&#10;2wAAAA8AAAAAAAAAAQAgAAAAIgAAAGRycy9kb3ducmV2LnhtbFBLAQIUABQAAAAIAIdO4kAzLwWe&#10;OwAAADkAAAAQAAAAAAAAAAEAIAAAAAsBAABkcnMvc2hhcGV4bWwueG1sUEsFBgAAAAAGAAYAWwEA&#10;ALUDAAAAAA==&#10;">
                  <v:fill on="f" focussize="0,0"/>
                  <v:stroke weight="2pt" color="#000000 [3200]" joinstyle="round"/>
                  <v:imagedata o:title=""/>
                  <o:lock v:ext="edit" aspectratio="f"/>
                  <v:shadow on="t" color="#000000" opacity="24903f" offset="0pt,1.5748031496063pt" origin="0f,32768f" matrix="65536f,0f,0f,65536f"/>
                </v:line>
                <v:roundrect id="AutoShape 1090" o:spid="_x0000_s1026" o:spt="2" style="position:absolute;left:5658928;top:1285336;height:457200;width:1467485;" fillcolor="#FFFFFF [3201]" filled="t" stroked="t" coordsize="21600,21600" arcsize="0.166666666666667" o:gfxdata="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Bwway8AAAA&#10;2wAAAA8AAAAAAAAAAQAgAAAAIgAAAGRycy9kb3ducmV2LnhtbFBLAQIUABQAAAAIAIdO4kAzLwWe&#10;OwAAADkAAAAQAAAAAAAAAAEAIAAAAAsBAABkcnMvc2hhcGV4bWwueG1sUEsFBgAAAAAGAAYAWwEA&#10;ALUDAAAAAA==&#10;">
                  <v:fill on="t" focussize="0,0"/>
                  <v:stroke weight="2pt" color="#F79646 [3209]" joinstyle="round"/>
                  <v:imagedata o:title=""/>
                  <o:lock v:ext="edit" aspectratio="f"/>
                  <v:textbox>
                    <w:txbxContent>
                      <w:p>
                        <w:pPr>
                          <w:spacing w:after="0"/>
                          <w:jc w:val="center"/>
                          <w:rPr>
                            <w:rFonts w:ascii="Tahoma" w:hAnsi="Tahoma" w:cs="Tahoma"/>
                            <w:b/>
                            <w:sz w:val="16"/>
                            <w:szCs w:val="16"/>
                          </w:rPr>
                        </w:pPr>
                        <w:r>
                          <w:rPr>
                            <w:rFonts w:ascii="Tahoma" w:hAnsi="Tahoma" w:cs="Tahoma"/>
                            <w:b/>
                            <w:sz w:val="16"/>
                            <w:szCs w:val="16"/>
                          </w:rPr>
                          <w:t>SUB BAGIAN</w:t>
                        </w:r>
                      </w:p>
                      <w:p>
                        <w:pPr>
                          <w:spacing w:after="0"/>
                          <w:jc w:val="center"/>
                          <w:rPr>
                            <w:rFonts w:ascii="Tahoma" w:hAnsi="Tahoma" w:cs="Tahoma"/>
                            <w:b/>
                            <w:sz w:val="8"/>
                            <w:szCs w:val="16"/>
                          </w:rPr>
                        </w:pPr>
                        <w:r>
                          <w:rPr>
                            <w:rFonts w:ascii="Tahoma" w:hAnsi="Tahoma" w:cs="Tahoma"/>
                            <w:b/>
                            <w:sz w:val="16"/>
                            <w:szCs w:val="16"/>
                          </w:rPr>
                          <w:t>UMUM</w:t>
                        </w:r>
                        <w:r>
                          <w:rPr>
                            <w:rFonts w:ascii="Tahoma" w:hAnsi="Tahoma" w:cs="Tahoma"/>
                            <w:b/>
                            <w:sz w:val="16"/>
                            <w:szCs w:val="16"/>
                            <w:lang w:val="id-ID"/>
                          </w:rPr>
                          <w:t xml:space="preserve"> </w:t>
                        </w:r>
                        <w:r>
                          <w:rPr>
                            <w:rFonts w:ascii="Tahoma" w:hAnsi="Tahoma" w:cs="Tahoma"/>
                            <w:b/>
                            <w:sz w:val="16"/>
                            <w:szCs w:val="16"/>
                          </w:rPr>
                          <w:t>KEPEGAWAIAN</w:t>
                        </w:r>
                      </w:p>
                    </w:txbxContent>
                  </v:textbox>
                </v:roundrect>
                <v:roundrect id="AutoShape 1090" o:spid="_x0000_s1026" o:spt="2" style="position:absolute;left:7418288;top:1293914;height:526458;width:1467485;" fillcolor="#FFFFFF [3201]" filled="t" stroked="t" coordsize="21600,21600" arcsize="0.166666666666667" o:gfxdata="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XEZcvQAA&#10;ANsAAAAPAAAAAAAAAAEAIAAAACIAAABkcnMvZG93bnJldi54bWxQSwECFAAUAAAACACHTuJAMy8F&#10;njsAAAA5AAAAEAAAAAAAAAABACAAAAAMAQAAZHJzL3NoYXBleG1sLnhtbFBLBQYAAAAABgAGAFsB&#10;AAC2AwAAAAA=&#10;">
                  <v:fill on="t" focussize="0,0"/>
                  <v:stroke weight="2pt" color="#000000 [3200]" joinstyle="round"/>
                  <v:imagedata o:title=""/>
                  <o:lock v:ext="edit" aspectratio="f"/>
                  <v:textbox>
                    <w:txbxContent>
                      <w:p>
                        <w:pPr>
                          <w:spacing w:after="0"/>
                          <w:jc w:val="center"/>
                          <w:rPr>
                            <w:rFonts w:ascii="Tahoma" w:hAnsi="Tahoma" w:cs="Tahoma"/>
                            <w:b/>
                            <w:sz w:val="18"/>
                            <w:szCs w:val="16"/>
                          </w:rPr>
                        </w:pPr>
                        <w:r>
                          <w:rPr>
                            <w:rFonts w:ascii="Tahoma" w:hAnsi="Tahoma" w:cs="Tahoma"/>
                            <w:b/>
                            <w:sz w:val="18"/>
                            <w:szCs w:val="16"/>
                          </w:rPr>
                          <w:t>SUB BAGIAN</w:t>
                        </w:r>
                      </w:p>
                      <w:p>
                        <w:pPr>
                          <w:spacing w:after="0"/>
                          <w:jc w:val="center"/>
                          <w:rPr>
                            <w:rFonts w:ascii="Tahoma" w:hAnsi="Tahoma" w:cs="Tahoma"/>
                            <w:b/>
                            <w:sz w:val="10"/>
                            <w:szCs w:val="16"/>
                          </w:rPr>
                        </w:pPr>
                        <w:r>
                          <w:rPr>
                            <w:rFonts w:ascii="Tahoma" w:hAnsi="Tahoma" w:cs="Tahoma"/>
                            <w:b/>
                            <w:sz w:val="18"/>
                            <w:szCs w:val="16"/>
                          </w:rPr>
                          <w:t>PROGRAM</w:t>
                        </w:r>
                      </w:p>
                    </w:txbxContent>
                  </v:textbox>
                </v:roundrect>
                <v:line id="Straight Connector 13" o:spid="_x0000_s1026" o:spt="20" style="position:absolute;left:8410755;top:1121434;height:152400;width:0;" filled="f" stroked="t" coordsize="21600,21600" o:gfxdata="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7iDvQAA&#10;ANoAAAAPAAAAAAAAAAEAIAAAACIAAABkcnMvZG93bnJldi54bWxQSwECFAAUAAAACACHTuJAMy8F&#10;njsAAAA5AAAAEAAAAAAAAAABACAAAAAMAQAAZHJzL3NoYXBleG1sLnhtbFBLBQYAAAAABgAGAFsB&#10;AAC2AwAAAAA=&#10;">
                  <v:fill on="f" focussize="0,0"/>
                  <v:stroke weight="2pt" color="#000000 [3200]" joinstyle="round"/>
                  <v:imagedata o:title=""/>
                  <o:lock v:ext="edit" aspectratio="f"/>
                  <v:shadow on="t" color="#000000" opacity="24903f" offset="0pt,1.5748031496063pt" origin="0f,32768f" matrix="65536f,0f,0f,65536f"/>
                </v:line>
                <v:line id="Straight Connector 14" o:spid="_x0000_s1026" o:spt="20" style="position:absolute;left:1423357;top:2251123;height:0;width:6124575;" filled="f" stroked="t" coordsize="21600,21600" o:gfxdata="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gL6AvQAA&#10;ANoAAAAPAAAAAAAAAAEAIAAAACIAAABkcnMvZG93bnJldi54bWxQSwECFAAUAAAACACHTuJAMy8F&#10;njsAAAA5AAAAEAAAAAAAAAABACAAAAAMAQAAZHJzL3NoYXBleG1sLnhtbFBLBQYAAAAABgAGAFsB&#10;AAC2AwAAAAA=&#10;">
                  <v:fill on="f" focussize="0,0"/>
                  <v:stroke weight="2pt" color="#000000 [3200]" joinstyle="round"/>
                  <v:imagedata o:title=""/>
                  <o:lock v:ext="edit" aspectratio="f"/>
                  <v:shadow on="t" color="#000000" opacity="24903f" offset="0pt,1.5748031496063pt" origin="0f,32768f" matrix="65536f,0f,0f,65536f"/>
                </v:line>
                <v:roundrect id="AutoShape 1067" o:spid="_x0000_s1026" o:spt="2" style="position:absolute;left:345056;top:2423468;height:646390;width:2133600;" fillcolor="#FFFFFF [3201]" filled="t" stroked="t" coordsize="21600,21600" arcsize="0.166666666666667" o:gfxdata="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T12r4A&#10;AADcAAAADwAAAAAAAAABACAAAAAiAAAAZHJzL2Rvd25yZXYueG1sUEsBAhQAFAAAAAgAh07iQDMv&#10;BZ47AAAAOQAAABAAAAAAAAAAAQAgAAAADQEAAGRycy9zaGFwZXhtbC54bWxQSwUGAAAAAAYABgBb&#10;AQAAtwMAAAAA&#10;">
                  <v:fill on="t" focussize="0,0"/>
                  <v:stroke weight="2pt" color="#9BBB59 [3206]" joinstyle="round"/>
                  <v:imagedata o:title=""/>
                  <o:lock v:ext="edit" aspectratio="f"/>
                  <v:textbox>
                    <w:txbxContent>
                      <w:p>
                        <w:pPr>
                          <w:spacing w:after="0"/>
                          <w:jc w:val="center"/>
                          <w:rPr>
                            <w:rFonts w:ascii="Tahoma" w:hAnsi="Tahoma" w:cs="Tahoma"/>
                            <w:b/>
                            <w:sz w:val="6"/>
                            <w:szCs w:val="13"/>
                          </w:rPr>
                        </w:pPr>
                      </w:p>
                      <w:p>
                        <w:pPr>
                          <w:spacing w:after="0"/>
                          <w:jc w:val="center"/>
                          <w:rPr>
                            <w:rFonts w:ascii="Tahoma" w:hAnsi="Tahoma" w:cs="Tahoma"/>
                            <w:b/>
                            <w:sz w:val="16"/>
                            <w:szCs w:val="13"/>
                          </w:rPr>
                        </w:pPr>
                        <w:r>
                          <w:rPr>
                            <w:rFonts w:ascii="Tahoma" w:hAnsi="Tahoma" w:cs="Tahoma"/>
                            <w:b/>
                            <w:sz w:val="16"/>
                            <w:szCs w:val="13"/>
                          </w:rPr>
                          <w:t>BIDANG</w:t>
                        </w:r>
                      </w:p>
                      <w:p>
                        <w:pPr>
                          <w:spacing w:after="0"/>
                          <w:jc w:val="center"/>
                          <w:rPr>
                            <w:rFonts w:ascii="Tahoma" w:hAnsi="Tahoma" w:cs="Tahoma"/>
                            <w:b/>
                            <w:sz w:val="16"/>
                            <w:szCs w:val="13"/>
                          </w:rPr>
                        </w:pPr>
                        <w:r>
                          <w:rPr>
                            <w:rFonts w:ascii="Tahoma" w:hAnsi="Tahoma" w:cs="Tahoma"/>
                            <w:b/>
                            <w:sz w:val="16"/>
                            <w:szCs w:val="13"/>
                          </w:rPr>
                          <w:t>PERINDUSTRIAN</w:t>
                        </w:r>
                      </w:p>
                    </w:txbxContent>
                  </v:textbox>
                </v:roundrect>
                <v:line id="Straight Connector 15" o:spid="_x0000_s1026" o:spt="20" style="position:absolute;left:1406107;top:2259749;height:152400;width:0;" filled="f" stroked="t" coordsize="21600,21600" o:gfxdata="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X2/fr4A&#10;AADcAAAADwAAAAAAAAABACAAAAAiAAAAZHJzL2Rvd25yZXYueG1sUEsBAhQAFAAAAAgAh07iQDMv&#10;BZ47AAAAOQAAABAAAAAAAAAAAQAgAAAADQEAAGRycy9zaGFwZXhtbC54bWxQSwUGAAAAAAYABgBb&#10;AQAAtwMAAAAA&#10;">
                  <v:fill on="f" focussize="0,0"/>
                  <v:stroke weight="2pt" color="#000000 [3200]" joinstyle="round"/>
                  <v:imagedata o:title=""/>
                  <o:lock v:ext="edit" aspectratio="f"/>
                  <v:shadow on="t" color="#000000" opacity="24903f" offset="0pt,1.5748031496063pt" origin="0f,32768f" matrix="65536f,0f,0f,65536f"/>
                </v:line>
                <v:line id="Straight Connector 16" o:spid="_x0000_s1026" o:spt="20" style="position:absolute;left:3760505;top:2251122;height:152400;width:0;" filled="f" stroked="t" coordsize="21600,21600" o:gfxdata="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jEa&#10;5cEAAADcAAAADwAAAAAAAAABACAAAAAiAAAAZHJzL2Rvd25yZXYueG1sUEsBAhQAFAAAAAgAh07i&#10;QDMvBZ47AAAAOQAAABAAAAAAAAAAAQAgAAAAEAEAAGRycy9zaGFwZXhtbC54bWxQSwUGAAAAAAYA&#10;BgBbAQAAugMAAAAA&#10;">
                  <v:fill on="f" focussize="0,0"/>
                  <v:stroke weight="2pt" color="#000000 [3200]" joinstyle="round"/>
                  <v:imagedata o:title=""/>
                  <o:lock v:ext="edit" aspectratio="f"/>
                  <v:shadow on="t" color="#000000" opacity="24903f" offset="0pt,1.5748031496063pt" origin="0f,32768f" matrix="65536f,0f,0f,65536f"/>
                </v:line>
                <v:roundrect id="AutoShape 1078" o:spid="_x0000_s1026" o:spt="2" style="position:absolute;left:3176137;top:2414964;height:633349;width:2409825;" fillcolor="#FFFFFF [3201]" filled="t" stroked="t" coordsize="21600,21600" arcsize="0.166666666666667" o:gfxdata="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Fuj2/&#10;AAAA3AAAAA8AAAAAAAAAAQAgAAAAIgAAAGRycy9kb3ducmV2LnhtbFBLAQIUABQAAAAIAIdO4kAz&#10;LwWeOwAAADkAAAAQAAAAAAAAAAEAIAAAAA4BAABkcnMvc2hhcGV4bWwueG1sUEsFBgAAAAAGAAYA&#10;WwEAALgDAAAAAA==&#10;">
                  <v:fill on="t" focussize="0,0"/>
                  <v:stroke weight="2pt" color="#C0504D [3205]" joinstyle="round"/>
                  <v:imagedata o:title=""/>
                  <o:lock v:ext="edit" aspectratio="f"/>
                  <v:textbox>
                    <w:txbxContent>
                      <w:p>
                        <w:pPr>
                          <w:spacing w:after="0"/>
                          <w:jc w:val="center"/>
                          <w:rPr>
                            <w:rFonts w:ascii="Tahoma" w:hAnsi="Tahoma" w:cs="Tahoma"/>
                            <w:b/>
                            <w:sz w:val="16"/>
                            <w:szCs w:val="13"/>
                          </w:rPr>
                        </w:pPr>
                        <w:r>
                          <w:rPr>
                            <w:rFonts w:ascii="Tahoma" w:hAnsi="Tahoma" w:cs="Tahoma"/>
                            <w:b/>
                            <w:sz w:val="16"/>
                            <w:szCs w:val="13"/>
                          </w:rPr>
                          <w:t>BIDANG</w:t>
                        </w:r>
                      </w:p>
                      <w:p>
                        <w:pPr>
                          <w:spacing w:after="0"/>
                          <w:jc w:val="center"/>
                          <w:rPr>
                            <w:rFonts w:ascii="Tahoma" w:hAnsi="Tahoma" w:cs="Tahoma"/>
                            <w:b/>
                            <w:sz w:val="16"/>
                            <w:szCs w:val="13"/>
                          </w:rPr>
                        </w:pPr>
                        <w:r>
                          <w:rPr>
                            <w:rFonts w:ascii="Tahoma" w:hAnsi="Tahoma" w:cs="Tahoma"/>
                            <w:b/>
                            <w:sz w:val="16"/>
                            <w:szCs w:val="13"/>
                          </w:rPr>
                          <w:t>PERPERDAGANGAN</w:t>
                        </w:r>
                      </w:p>
                      <w:p>
                        <w:pPr>
                          <w:spacing w:after="0"/>
                          <w:jc w:val="center"/>
                          <w:rPr>
                            <w:rFonts w:ascii="Tahoma" w:hAnsi="Tahoma" w:cs="Tahoma"/>
                            <w:b/>
                            <w:sz w:val="15"/>
                            <w:szCs w:val="13"/>
                          </w:rPr>
                        </w:pPr>
                      </w:p>
                    </w:txbxContent>
                  </v:textbox>
                </v:roundrect>
                <v:line id="Straight Connector 17" o:spid="_x0000_s1026" o:spt="20" style="position:absolute;left:7539487;top:2259749;height:152400;width:0;" filled="f" stroked="t" coordsize="21600,21600" o:gfxdata="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HY&#10;gpHCAAAA3AAAAA8AAAAAAAAAAQAgAAAAIgAAAGRycy9kb3ducmV2LnhtbFBLAQIUABQAAAAIAIdO&#10;4kAzLwWeOwAAADkAAAAQAAAAAAAAAAEAIAAAABEBAABkcnMvc2hhcGV4bWwueG1sUEsFBgAAAAAG&#10;AAYAWwEAALsDAAAAAA==&#10;">
                  <v:fill on="f" focussize="0,0"/>
                  <v:stroke weight="2pt" color="#000000 [3200]" joinstyle="round"/>
                  <v:imagedata o:title=""/>
                  <o:lock v:ext="edit" aspectratio="f"/>
                  <v:shadow on="t" color="#000000" opacity="24903f" offset="0pt,1.5748031496063pt" origin="0f,32768f" matrix="65536f,0f,0f,65536f"/>
                </v:line>
                <v:roundrect id="AutoShape 1100" o:spid="_x0000_s1026" o:spt="2" style="position:absolute;left:6244809;top:2423529;height:646248;width:2600325;" fillcolor="#FFFFFF [3201]" filled="t" stroked="t" coordsize="21600,21600" arcsize="0.166666666666667" o:gfxdata="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2QNgu&#10;wAAAANwAAAAPAAAAAAAAAAEAIAAAACIAAABkcnMvZG93bnJldi54bWxQSwECFAAUAAAACACHTuJA&#10;My8FnjsAAAA5AAAAEAAAAAAAAAABACAAAAAPAQAAZHJzL3NoYXBleG1sLnhtbFBLBQYAAAAABgAG&#10;AFsBAAC5AwAAAAA=&#10;">
                  <v:fill on="t" focussize="0,0"/>
                  <v:stroke weight="2pt" color="#4F81BD [3204]" joinstyle="round"/>
                  <v:imagedata o:title=""/>
                  <o:lock v:ext="edit" aspectratio="f"/>
                  <v:textbox>
                    <w:txbxContent>
                      <w:p>
                        <w:pPr>
                          <w:spacing w:after="0"/>
                          <w:jc w:val="center"/>
                          <w:rPr>
                            <w:rFonts w:ascii="Tahoma" w:hAnsi="Tahoma" w:cs="Tahoma"/>
                            <w:b/>
                            <w:sz w:val="16"/>
                            <w:szCs w:val="13"/>
                          </w:rPr>
                        </w:pPr>
                        <w:r>
                          <w:rPr>
                            <w:rFonts w:ascii="Tahoma" w:hAnsi="Tahoma" w:cs="Tahoma"/>
                            <w:b/>
                            <w:sz w:val="16"/>
                            <w:szCs w:val="13"/>
                          </w:rPr>
                          <w:t>BIDANG</w:t>
                        </w:r>
                      </w:p>
                      <w:p>
                        <w:pPr>
                          <w:spacing w:after="0"/>
                          <w:jc w:val="center"/>
                          <w:rPr>
                            <w:rFonts w:ascii="Tahoma" w:hAnsi="Tahoma" w:cs="Tahoma"/>
                            <w:b/>
                            <w:sz w:val="16"/>
                            <w:szCs w:val="13"/>
                          </w:rPr>
                        </w:pPr>
                        <w:r>
                          <w:rPr>
                            <w:rFonts w:ascii="Tahoma" w:hAnsi="Tahoma" w:cs="Tahoma"/>
                            <w:b/>
                            <w:sz w:val="16"/>
                            <w:szCs w:val="13"/>
                          </w:rPr>
                          <w:t>KOPERASI DAN USAHA KECIL MENENGAH</w:t>
                        </w:r>
                      </w:p>
                      <w:p>
                        <w:pPr>
                          <w:spacing w:after="0"/>
                          <w:jc w:val="both"/>
                          <w:rPr>
                            <w:rFonts w:ascii="Tahoma" w:hAnsi="Tahoma" w:cs="Tahoma"/>
                            <w:b/>
                            <w:sz w:val="13"/>
                            <w:szCs w:val="13"/>
                          </w:rPr>
                        </w:pPr>
                      </w:p>
                    </w:txbxContent>
                  </v:textbox>
                </v:roundrect>
                <v:line id="Straight Connector 48" o:spid="_x0000_s1026" o:spt="20" style="position:absolute;left:3761117;top:319178;height:133350;width:0;" filled="f" stroked="t" coordsize="21600,21600" o:gfxdata="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AmlTq/&#10;AAAA3AAAAA8AAAAAAAAAAQAgAAAAIgAAAGRycy9kb3ducmV2LnhtbFBLAQIUABQAAAAIAIdO4kAz&#10;LwWeOwAAADkAAAAQAAAAAAAAAAEAIAAAAA4BAABkcnMvc2hhcGV4bWwueG1sUEsFBgAAAAAGAAYA&#10;WwEAALgDAAAAAA==&#10;">
                  <v:fill on="f" focussize="0,0"/>
                  <v:stroke weight="2pt" color="#000000 [3200]" joinstyle="round"/>
                  <v:imagedata o:title=""/>
                  <o:lock v:ext="edit" aspectratio="f"/>
                  <v:shadow on="t" color="#000000" opacity="24903f" offset="0pt,1.5748031496063pt" origin="0f,32768f" matrix="65536f,0f,0f,65536f"/>
                </v:line>
                <v:roundrect id="AutoShape 1012" o:spid="_x0000_s1026" o:spt="2" style="position:absolute;left:3286008;top:3640747;height:315311;width:1056290;" fillcolor="#FFFFFF [3201]" filled="t" stroked="t" coordsize="21600,21600" arcsize="0.166666666666667" o:gfxdata="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wDJXL4A&#10;AADcAAAADwAAAAAAAAABACAAAAAiAAAAZHJzL2Rvd25yZXYueG1sUEsBAhQAFAAAAAgAh07iQDMv&#10;BZ47AAAAOQAAABAAAAAAAAAAAQAgAAAADQEAAGRycy9zaGFwZXhtbC54bWxQSwUGAAAAAAYABgBb&#10;AQAAtwMAAAAA&#10;">
                  <v:fill on="t" focussize="0,0"/>
                  <v:stroke weight="2pt" color="#000000 [3200]" joinstyle="round"/>
                  <v:imagedata o:title=""/>
                  <o:lock v:ext="edit" aspectratio="f"/>
                  <v:textbox>
                    <w:txbxContent>
                      <w:p>
                        <w:pPr>
                          <w:jc w:val="center"/>
                          <w:rPr>
                            <w:rFonts w:ascii="Tahoma" w:hAnsi="Tahoma" w:cs="Tahoma"/>
                            <w:b/>
                            <w:szCs w:val="16"/>
                          </w:rPr>
                        </w:pPr>
                        <w:r>
                          <w:rPr>
                            <w:rFonts w:ascii="Tahoma" w:hAnsi="Tahoma" w:cs="Tahoma"/>
                            <w:b/>
                            <w:szCs w:val="16"/>
                          </w:rPr>
                          <w:t>UPTD</w:t>
                        </w:r>
                      </w:p>
                    </w:txbxContent>
                  </v:textbox>
                </v:roundrect>
                <v:line id="Straight Connector 14" o:spid="_x0000_s1026" o:spt="20" style="position:absolute;left:4651447;top:1098515;height:0;width:3770940;" filled="f" stroked="t" coordsize="21600,21600" o:gfxdata="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wepa/&#10;AAAA2wAAAA8AAAAAAAAAAQAgAAAAIgAAAGRycy9kb3ducmV2LnhtbFBLAQIUABQAAAAIAIdO4kAz&#10;LwWeOwAAADkAAAAQAAAAAAAAAAEAIAAAAA4BAABkcnMvc2hhcGV4bWwueG1sUEsFBgAAAAAGAAYA&#10;WwEAALgDAAAAAA==&#10;">
                  <v:fill on="f" focussize="0,0"/>
                  <v:stroke weight="2pt" color="#000000 [3200]" joinstyle="round"/>
                  <v:imagedata o:title=""/>
                  <o:lock v:ext="edit" aspectratio="f"/>
                  <v:shadow on="t" color="#000000" opacity="24903f" offset="0pt,1.5748031496063pt" origin="0f,32768f" matrix="65536f,0f,0f,65536f"/>
                </v:line>
                <v:line id="Straight Connector 16" o:spid="_x0000_s1026" o:spt="20" style="position:absolute;left:3761053;top:471565;height:1788100;width:0;" filled="f" stroked="t" coordsize="21600,21600" o:gfxdata="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oLP/S/&#10;AAAA2wAAAA8AAAAAAAAAAQAgAAAAIgAAAGRycy9kb3ducmV2LnhtbFBLAQIUABQAAAAIAIdO4kAz&#10;LwWeOwAAADkAAAAQAAAAAAAAAAEAIAAAAA4BAABkcnMvc2hhcGV4bWwueG1sUEsFBgAAAAAGAAYA&#10;WwEAALgDAAAAAA==&#10;">
                  <v:fill on="f" focussize="0,0"/>
                  <v:stroke weight="2pt" color="#000000 [3200]" joinstyle="round"/>
                  <v:imagedata o:title=""/>
                  <o:lock v:ext="edit" aspectratio="f"/>
                  <v:shadow on="t" color="#000000" opacity="24903f" offset="0pt,1.5748031496063pt" origin="0f,32768f" matrix="65536f,0f,0f,65536f"/>
                </v:line>
                <v:line id="Straight Connector 16" o:spid="_x0000_s1026" o:spt="20" style="position:absolute;left:3780888;top:3090887;height:539085;width:0;" filled="f" stroked="t" coordsize="21600,21600" o:gfxdata="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VHmm+/&#10;AAAA2wAAAA8AAAAAAAAAAQAgAAAAIgAAAGRycy9kb3ducmV2LnhtbFBLAQIUABQAAAAIAIdO4kAz&#10;LwWeOwAAADkAAAAQAAAAAAAAAAEAIAAAAA4BAABkcnMvc2hhcGV4bWwueG1sUEsFBgAAAAAGAAYA&#10;WwEAALgDAAAAAA==&#10;">
                  <v:fill on="f" focussize="0,0"/>
                  <v:stroke weight="2pt" color="#000000 [3200]" joinstyle="round"/>
                  <v:imagedata o:title=""/>
                  <o:lock v:ext="edit" aspectratio="f"/>
                  <v:shadow on="t" color="#000000" opacity="24903f" offset="0pt,1.5748031496063pt" origin="0f,32768f" matrix="65536f,0f,0f,65536f"/>
                </v:line>
              </v:group>
            </w:pict>
          </mc:Fallback>
        </mc:AlternateContent>
      </w:r>
    </w:p>
    <w:p>
      <w:pPr>
        <w:pStyle w:val="13"/>
        <w:numPr>
          <w:ilvl w:val="0"/>
          <w:numId w:val="3"/>
        </w:numPr>
        <w:shd w:val="clear" w:color="auto" w:fill="FFFFFF" w:themeFill="background1"/>
        <w:spacing w:line="360" w:lineRule="auto"/>
        <w:jc w:val="both"/>
        <w:rPr>
          <w:rFonts w:hint="default" w:ascii="Cambria" w:hAnsi="Cambria" w:cs="Cambria"/>
          <w:b/>
          <w:sz w:val="24"/>
          <w:szCs w:val="24"/>
        </w:rPr>
      </w:pPr>
      <w:r>
        <w:rPr>
          <w:rFonts w:hint="default" w:ascii="Cambria" w:hAnsi="Cambria" w:cs="Cambria"/>
          <w:b/>
          <w:sz w:val="24"/>
          <w:szCs w:val="24"/>
        </w:rPr>
        <w:t>Dasar Hukum</w:t>
      </w:r>
    </w:p>
    <w:p>
      <w:pPr>
        <w:pStyle w:val="13"/>
        <w:shd w:val="clear" w:color="auto" w:fill="FFFFFF" w:themeFill="background1"/>
        <w:spacing w:line="360" w:lineRule="auto"/>
        <w:ind w:left="786"/>
        <w:jc w:val="both"/>
        <w:rPr>
          <w:rFonts w:hint="default" w:ascii="Cambria" w:hAnsi="Cambria" w:cs="Cambria"/>
          <w:color w:val="000000" w:themeColor="text1"/>
          <w:sz w:val="24"/>
          <w:szCs w:val="24"/>
          <w14:textFill>
            <w14:solidFill>
              <w14:schemeClr w14:val="tx1"/>
            </w14:solidFill>
          </w14:textFill>
        </w:rPr>
      </w:pPr>
      <w:r>
        <w:rPr>
          <w:rFonts w:hint="default" w:ascii="Cambria" w:hAnsi="Cambria" w:cs="Cambria"/>
          <w:color w:val="000000" w:themeColor="text1"/>
          <w:sz w:val="24"/>
          <w:szCs w:val="24"/>
          <w14:textFill>
            <w14:solidFill>
              <w14:schemeClr w14:val="tx1"/>
            </w14:solidFill>
          </w14:textFill>
        </w:rPr>
        <w:t>Peraturan perundang-undangan yang menjadi dasar dalam penyusunan LAKIP adalah :</w:t>
      </w:r>
    </w:p>
    <w:p>
      <w:pPr>
        <w:pStyle w:val="13"/>
        <w:numPr>
          <w:ilvl w:val="0"/>
          <w:numId w:val="9"/>
        </w:numPr>
        <w:shd w:val="clear" w:color="auto" w:fill="FFFFFF" w:themeFill="background1"/>
        <w:spacing w:line="360" w:lineRule="auto"/>
        <w:jc w:val="both"/>
        <w:rPr>
          <w:rFonts w:hint="default" w:ascii="Cambria" w:hAnsi="Cambria" w:cs="Cambria"/>
          <w:b/>
          <w:sz w:val="24"/>
          <w:szCs w:val="24"/>
        </w:rPr>
      </w:pPr>
      <w:r>
        <w:rPr>
          <w:rFonts w:hint="default" w:ascii="Cambria" w:hAnsi="Cambria" w:cs="Cambria"/>
          <w:color w:val="000000" w:themeColor="text1"/>
          <w:sz w:val="24"/>
          <w:szCs w:val="24"/>
          <w14:textFill>
            <w14:solidFill>
              <w14:schemeClr w14:val="tx1"/>
            </w14:solidFill>
          </w14:textFill>
        </w:rPr>
        <w:t>Undang-Undang Nomor 23 Tahun 2014 tentang Pemerintahan Daerah (Lembaran Negara Republik Indonesia Tahun 2014 Nomor 244, Tambahan Lembaran Negara Republik Indonesia Nomor 5587) sebagaimana telah diubah beberapa kali, terakhir</w:t>
      </w:r>
    </w:p>
    <w:p>
      <w:pPr>
        <w:pStyle w:val="13"/>
        <w:numPr>
          <w:ilvl w:val="0"/>
          <w:numId w:val="9"/>
        </w:numPr>
        <w:shd w:val="clear" w:color="auto" w:fill="FFFFFF" w:themeFill="background1"/>
        <w:spacing w:line="360" w:lineRule="auto"/>
        <w:jc w:val="both"/>
        <w:rPr>
          <w:rFonts w:hint="default" w:ascii="Cambria" w:hAnsi="Cambria" w:cs="Cambria"/>
          <w:b/>
          <w:sz w:val="24"/>
          <w:szCs w:val="24"/>
        </w:rPr>
      </w:pPr>
      <w:r>
        <w:rPr>
          <w:rFonts w:hint="default" w:ascii="Cambria" w:hAnsi="Cambria" w:cs="Cambria"/>
          <w:color w:val="000000" w:themeColor="text1"/>
          <w:sz w:val="24"/>
          <w:szCs w:val="24"/>
          <w14:textFill>
            <w14:solidFill>
              <w14:schemeClr w14:val="tx1"/>
            </w14:solidFill>
          </w14:textFill>
        </w:rPr>
        <w:t>dengan Undang-Undang Nomor 9 Tahun 2015 tentang Perubahan Kedua Atas Undang-Undang Nomor 23 Tahun 2014 tentang Pemerintahan Daerah (Lembaran Negara Republik Indonesia Tahun 2015 Nomor 58, Tambahan Lembaran Negara Republik Indonesia Nomor 5679);</w:t>
      </w:r>
    </w:p>
    <w:p>
      <w:pPr>
        <w:pStyle w:val="13"/>
        <w:numPr>
          <w:ilvl w:val="0"/>
          <w:numId w:val="9"/>
        </w:numPr>
        <w:shd w:val="clear" w:color="auto" w:fill="FFFFFF" w:themeFill="background1"/>
        <w:spacing w:line="360" w:lineRule="auto"/>
        <w:jc w:val="both"/>
        <w:rPr>
          <w:rFonts w:hint="default" w:ascii="Cambria" w:hAnsi="Cambria" w:cs="Cambria"/>
          <w:b/>
          <w:sz w:val="24"/>
          <w:szCs w:val="24"/>
        </w:rPr>
      </w:pPr>
      <w:r>
        <w:rPr>
          <w:rFonts w:hint="default" w:ascii="Cambria" w:hAnsi="Cambria" w:cs="Cambria"/>
          <w:color w:val="000000" w:themeColor="text1"/>
          <w:sz w:val="24"/>
          <w:szCs w:val="24"/>
          <w14:textFill>
            <w14:solidFill>
              <w14:schemeClr w14:val="tx1"/>
            </w14:solidFill>
          </w14:textFill>
        </w:rPr>
        <w:t>Peraturan Presiden Nomor 29 Tahun 2014 Tentang Sistem Akuntabilitas Kinerja Instansi Pemerintah;</w:t>
      </w:r>
    </w:p>
    <w:p>
      <w:pPr>
        <w:pStyle w:val="13"/>
        <w:numPr>
          <w:ilvl w:val="0"/>
          <w:numId w:val="9"/>
        </w:numPr>
        <w:shd w:val="clear" w:color="auto" w:fill="FFFFFF" w:themeFill="background1"/>
        <w:spacing w:line="360" w:lineRule="auto"/>
        <w:jc w:val="both"/>
        <w:rPr>
          <w:rFonts w:hint="default" w:ascii="Cambria" w:hAnsi="Cambria" w:cs="Cambria"/>
          <w:b/>
          <w:sz w:val="24"/>
          <w:szCs w:val="24"/>
        </w:rPr>
      </w:pPr>
      <w:r>
        <w:rPr>
          <w:rFonts w:hint="default" w:ascii="Cambria" w:hAnsi="Cambria" w:cs="Cambria"/>
          <w:color w:val="000000" w:themeColor="text1"/>
          <w:sz w:val="24"/>
          <w:szCs w:val="24"/>
          <w14:textFill>
            <w14:solidFill>
              <w14:schemeClr w14:val="tx1"/>
            </w14:solidFill>
          </w14:textFill>
        </w:rPr>
        <w:t>Peraturan Menteri Pendayagunaan Aparatur Negara dan Reformasi Birokrasi Nomor 53 Tahun 2014 Tentang Petunjuk Teknis Penyusunan Perjanjian Kinerja, Pelaporan Kinerja dan Reviu Atas Laporan Kinerja;</w:t>
      </w:r>
    </w:p>
    <w:p>
      <w:pPr>
        <w:pStyle w:val="13"/>
        <w:numPr>
          <w:ilvl w:val="0"/>
          <w:numId w:val="9"/>
        </w:numPr>
        <w:shd w:val="clear" w:color="auto" w:fill="FFFFFF" w:themeFill="background1"/>
        <w:spacing w:line="360" w:lineRule="auto"/>
        <w:jc w:val="both"/>
        <w:rPr>
          <w:rFonts w:hint="default" w:ascii="Cambria" w:hAnsi="Cambria" w:cs="Cambria"/>
          <w:b/>
          <w:sz w:val="24"/>
          <w:szCs w:val="24"/>
        </w:rPr>
      </w:pPr>
      <w:r>
        <w:rPr>
          <w:rFonts w:hint="default" w:ascii="Cambria" w:hAnsi="Cambria" w:cs="Cambria"/>
          <w:sz w:val="24"/>
          <w:szCs w:val="24"/>
        </w:rPr>
        <w:t>Peraturan Daerah Kabupaten Kepulauan Selayar Nomor 4 Tahun 2020 tentang Pembentukan dan Susunan Perangkat Daerah Kabupaten Kepulauan Selayar dan Peraturan Bupati Kepulauan Selayar;</w:t>
      </w:r>
    </w:p>
    <w:p>
      <w:pPr>
        <w:pStyle w:val="13"/>
        <w:numPr>
          <w:ilvl w:val="0"/>
          <w:numId w:val="9"/>
        </w:numPr>
        <w:shd w:val="clear" w:color="auto" w:fill="FFFFFF" w:themeFill="background1"/>
        <w:spacing w:line="360" w:lineRule="auto"/>
        <w:jc w:val="both"/>
        <w:rPr>
          <w:rFonts w:hint="default" w:ascii="Cambria" w:hAnsi="Cambria" w:cs="Cambria"/>
          <w:b/>
          <w:sz w:val="24"/>
          <w:szCs w:val="24"/>
        </w:rPr>
      </w:pPr>
      <w:r>
        <w:rPr>
          <w:rFonts w:hint="default" w:ascii="Cambria" w:hAnsi="Cambria" w:cs="Cambria"/>
          <w:sz w:val="24"/>
          <w:szCs w:val="24"/>
        </w:rPr>
        <w:t xml:space="preserve">Peraturan Bupati Kepulauan Selayar Nomor 74 Tahun 2020 tentang Kedudukan, Susunan Organisasi, Tugas dan Fungsi sera Tata Kerja Dinas </w:t>
      </w:r>
      <w:r>
        <w:rPr>
          <w:rFonts w:hint="default" w:ascii="Cambria" w:hAnsi="Cambria" w:cs="Cambria"/>
          <w:sz w:val="24"/>
          <w:szCs w:val="24"/>
          <w:shd w:val="clear" w:color="auto" w:fill="FFFFFF"/>
        </w:rPr>
        <w:t>Perindustrian, Perdagangan, Koperasi, Usaha Kecil dan Menengah Kabupaten Kepulauan Selayar.</w:t>
      </w:r>
    </w:p>
    <w:p>
      <w:pPr>
        <w:pStyle w:val="13"/>
        <w:numPr>
          <w:numId w:val="0"/>
        </w:numPr>
        <w:shd w:val="clear" w:color="auto" w:fill="FFFFFF" w:themeFill="background1"/>
        <w:spacing w:line="360" w:lineRule="auto"/>
        <w:ind w:left="786" w:leftChars="0"/>
        <w:jc w:val="both"/>
        <w:rPr>
          <w:rFonts w:hint="default" w:ascii="Cambria" w:hAnsi="Cambria" w:cs="Cambria"/>
          <w:b/>
          <w:sz w:val="24"/>
          <w:szCs w:val="24"/>
        </w:rPr>
      </w:pPr>
    </w:p>
    <w:p>
      <w:pPr>
        <w:pStyle w:val="13"/>
        <w:numPr>
          <w:ilvl w:val="0"/>
          <w:numId w:val="3"/>
        </w:numPr>
        <w:shd w:val="clear" w:color="auto" w:fill="FFFFFF" w:themeFill="background1"/>
        <w:spacing w:line="360" w:lineRule="auto"/>
        <w:ind w:left="709" w:hanging="283"/>
        <w:jc w:val="both"/>
        <w:rPr>
          <w:rFonts w:hint="default" w:ascii="Cambria" w:hAnsi="Cambria" w:cs="Cambria"/>
          <w:b/>
          <w:sz w:val="24"/>
          <w:szCs w:val="24"/>
        </w:rPr>
      </w:pPr>
      <w:r>
        <w:rPr>
          <w:rFonts w:hint="default" w:ascii="Cambria" w:hAnsi="Cambria" w:cs="Cambria"/>
          <w:b/>
          <w:sz w:val="24"/>
          <w:szCs w:val="24"/>
        </w:rPr>
        <w:t>Sistematika Penulisan</w:t>
      </w:r>
    </w:p>
    <w:p>
      <w:pPr>
        <w:pStyle w:val="13"/>
        <w:shd w:val="clear" w:color="auto" w:fill="FFFFFF" w:themeFill="background1"/>
        <w:spacing w:line="360" w:lineRule="auto"/>
        <w:ind w:left="709"/>
        <w:jc w:val="both"/>
        <w:rPr>
          <w:rFonts w:hint="default" w:ascii="Cambria" w:hAnsi="Cambria" w:cs="Cambria"/>
          <w:bCs/>
          <w:sz w:val="24"/>
          <w:szCs w:val="24"/>
        </w:rPr>
      </w:pPr>
      <w:r>
        <w:rPr>
          <w:rFonts w:hint="default" w:ascii="Cambria" w:hAnsi="Cambria" w:cs="Cambria"/>
          <w:bCs/>
          <w:sz w:val="24"/>
          <w:szCs w:val="24"/>
        </w:rPr>
        <w:t xml:space="preserve">LAKIP Dinas </w:t>
      </w:r>
      <w:r>
        <w:rPr>
          <w:rFonts w:hint="default" w:ascii="Cambria" w:hAnsi="Cambria" w:cs="Cambria"/>
          <w:sz w:val="24"/>
          <w:szCs w:val="24"/>
          <w:shd w:val="clear" w:color="auto" w:fill="FFFFFF"/>
        </w:rPr>
        <w:t>Perindustrian, Perdagangan, Koperasi, Usaha Kecil dan Menengah Kabupaten Kepulauan Selayar</w:t>
      </w:r>
      <w:r>
        <w:rPr>
          <w:rFonts w:hint="default" w:ascii="Cambria" w:hAnsi="Cambria" w:cs="Cambria"/>
          <w:bCs/>
          <w:sz w:val="24"/>
          <w:szCs w:val="24"/>
        </w:rPr>
        <w:t xml:space="preserve"> disusun dengan sistematika penyusunan sebagai berikut :</w:t>
      </w:r>
    </w:p>
    <w:p>
      <w:pPr>
        <w:pStyle w:val="13"/>
        <w:shd w:val="clear" w:color="auto" w:fill="FFFFFF" w:themeFill="background1"/>
        <w:spacing w:line="360" w:lineRule="auto"/>
        <w:ind w:left="709"/>
        <w:jc w:val="both"/>
        <w:rPr>
          <w:rFonts w:hint="default" w:ascii="Cambria" w:hAnsi="Cambria" w:cs="Cambria"/>
          <w:bCs/>
          <w:sz w:val="24"/>
          <w:szCs w:val="24"/>
        </w:rPr>
      </w:pPr>
    </w:p>
    <w:p>
      <w:pPr>
        <w:pStyle w:val="13"/>
        <w:shd w:val="clear" w:color="auto" w:fill="FFFFFF" w:themeFill="background1"/>
        <w:spacing w:line="360" w:lineRule="auto"/>
        <w:ind w:left="709"/>
        <w:jc w:val="both"/>
        <w:rPr>
          <w:rFonts w:hint="default" w:ascii="Cambria" w:hAnsi="Cambria" w:cs="Cambria"/>
          <w:b/>
          <w:sz w:val="24"/>
          <w:szCs w:val="24"/>
        </w:rPr>
      </w:pPr>
      <w:r>
        <w:rPr>
          <w:rFonts w:hint="default" w:ascii="Cambria" w:hAnsi="Cambria" w:cs="Cambria"/>
          <w:b/>
          <w:sz w:val="24"/>
          <w:szCs w:val="24"/>
        </w:rPr>
        <w:t>BAB. I</w:t>
      </w:r>
      <w:r>
        <w:rPr>
          <w:rFonts w:hint="default" w:ascii="Cambria" w:hAnsi="Cambria" w:cs="Cambria"/>
          <w:b/>
          <w:sz w:val="24"/>
          <w:szCs w:val="24"/>
        </w:rPr>
        <w:tab/>
      </w:r>
      <w:r>
        <w:rPr>
          <w:rFonts w:hint="default" w:ascii="Cambria" w:hAnsi="Cambria" w:cs="Cambria"/>
          <w:b/>
          <w:sz w:val="24"/>
          <w:szCs w:val="24"/>
        </w:rPr>
        <w:t>PENDAHULUAN</w:t>
      </w:r>
    </w:p>
    <w:p>
      <w:pPr>
        <w:pStyle w:val="13"/>
        <w:numPr>
          <w:ilvl w:val="0"/>
          <w:numId w:val="10"/>
        </w:numPr>
        <w:tabs>
          <w:tab w:val="left" w:leader="dot" w:pos="8820"/>
          <w:tab w:val="right" w:pos="9214"/>
          <w:tab w:val="right" w:pos="9360"/>
        </w:tabs>
        <w:spacing w:after="0" w:line="360" w:lineRule="auto"/>
        <w:ind w:left="1276"/>
        <w:rPr>
          <w:rFonts w:hint="default" w:ascii="Cambria" w:hAnsi="Cambria" w:cs="Cambria"/>
          <w:b/>
          <w:sz w:val="24"/>
          <w:szCs w:val="24"/>
        </w:rPr>
      </w:pPr>
      <w:r>
        <w:rPr>
          <w:rFonts w:hint="default" w:ascii="Cambria" w:hAnsi="Cambria" w:cs="Cambria"/>
          <w:sz w:val="24"/>
          <w:szCs w:val="24"/>
        </w:rPr>
        <w:t>Latar Belakang</w:t>
      </w:r>
    </w:p>
    <w:p>
      <w:pPr>
        <w:pStyle w:val="13"/>
        <w:numPr>
          <w:ilvl w:val="0"/>
          <w:numId w:val="10"/>
        </w:numPr>
        <w:tabs>
          <w:tab w:val="left" w:leader="dot" w:pos="8820"/>
          <w:tab w:val="right" w:pos="9214"/>
          <w:tab w:val="right" w:pos="9360"/>
        </w:tabs>
        <w:spacing w:after="0" w:line="360" w:lineRule="auto"/>
        <w:ind w:left="1276"/>
        <w:rPr>
          <w:rFonts w:hint="default" w:ascii="Cambria" w:hAnsi="Cambria" w:cs="Cambria"/>
          <w:b/>
          <w:sz w:val="24"/>
          <w:szCs w:val="24"/>
        </w:rPr>
      </w:pPr>
      <w:r>
        <w:rPr>
          <w:rFonts w:hint="default" w:ascii="Cambria" w:hAnsi="Cambria" w:cs="Cambria"/>
          <w:sz w:val="24"/>
          <w:szCs w:val="24"/>
        </w:rPr>
        <w:t>Maksud dan Tujuan</w:t>
      </w:r>
    </w:p>
    <w:p>
      <w:pPr>
        <w:pStyle w:val="13"/>
        <w:numPr>
          <w:ilvl w:val="0"/>
          <w:numId w:val="10"/>
        </w:numPr>
        <w:tabs>
          <w:tab w:val="left" w:leader="dot" w:pos="8820"/>
          <w:tab w:val="right" w:pos="9214"/>
          <w:tab w:val="right" w:pos="9360"/>
        </w:tabs>
        <w:spacing w:after="0" w:line="360" w:lineRule="auto"/>
        <w:ind w:left="1276"/>
        <w:rPr>
          <w:rFonts w:hint="default" w:ascii="Cambria" w:hAnsi="Cambria" w:cs="Cambria"/>
          <w:bCs/>
          <w:sz w:val="24"/>
          <w:szCs w:val="24"/>
        </w:rPr>
      </w:pPr>
      <w:r>
        <w:rPr>
          <w:rFonts w:hint="default" w:ascii="Cambria" w:hAnsi="Cambria" w:cs="Cambria"/>
          <w:sz w:val="24"/>
          <w:szCs w:val="24"/>
        </w:rPr>
        <w:t>Gambaran Umum Organisasi Perangkat Daerah</w:t>
      </w:r>
    </w:p>
    <w:p>
      <w:pPr>
        <w:pStyle w:val="13"/>
        <w:numPr>
          <w:ilvl w:val="0"/>
          <w:numId w:val="10"/>
        </w:numPr>
        <w:tabs>
          <w:tab w:val="left" w:leader="dot" w:pos="8820"/>
          <w:tab w:val="right" w:pos="9214"/>
          <w:tab w:val="right" w:pos="9360"/>
        </w:tabs>
        <w:spacing w:after="0" w:line="360" w:lineRule="auto"/>
        <w:ind w:left="1276"/>
        <w:rPr>
          <w:rFonts w:hint="default" w:ascii="Cambria" w:hAnsi="Cambria" w:cs="Cambria"/>
          <w:bCs/>
          <w:sz w:val="24"/>
          <w:szCs w:val="24"/>
        </w:rPr>
      </w:pPr>
      <w:r>
        <w:rPr>
          <w:rFonts w:hint="default" w:ascii="Cambria" w:hAnsi="Cambria" w:cs="Cambria"/>
          <w:sz w:val="24"/>
          <w:szCs w:val="24"/>
        </w:rPr>
        <w:t>Isu-Isu Strategis</w:t>
      </w:r>
    </w:p>
    <w:p>
      <w:pPr>
        <w:tabs>
          <w:tab w:val="left" w:pos="1260"/>
          <w:tab w:val="left" w:pos="1440"/>
          <w:tab w:val="left" w:pos="1843"/>
          <w:tab w:val="left" w:leader="dot" w:pos="8820"/>
          <w:tab w:val="right" w:pos="9214"/>
          <w:tab w:val="right" w:pos="9360"/>
        </w:tabs>
        <w:spacing w:after="0" w:line="360" w:lineRule="auto"/>
        <w:ind w:left="709"/>
        <w:rPr>
          <w:rFonts w:hint="default" w:ascii="Cambria" w:hAnsi="Cambria" w:cs="Cambria"/>
          <w:b/>
          <w:sz w:val="24"/>
          <w:szCs w:val="24"/>
        </w:rPr>
      </w:pPr>
      <w:r>
        <w:rPr>
          <w:rFonts w:hint="default" w:ascii="Cambria" w:hAnsi="Cambria" w:cs="Cambria"/>
          <w:b/>
          <w:sz w:val="24"/>
          <w:szCs w:val="24"/>
        </w:rPr>
        <w:t>BAB. II</w:t>
      </w:r>
      <w:r>
        <w:rPr>
          <w:rFonts w:hint="default" w:ascii="Cambria" w:hAnsi="Cambria" w:cs="Cambria"/>
          <w:b/>
          <w:sz w:val="24"/>
          <w:szCs w:val="24"/>
          <w:lang w:val="en-US"/>
        </w:rPr>
        <w:t xml:space="preserve"> </w:t>
      </w:r>
      <w:r>
        <w:rPr>
          <w:rFonts w:hint="default" w:ascii="Cambria" w:hAnsi="Cambria" w:cs="Cambria"/>
          <w:b/>
          <w:sz w:val="24"/>
          <w:szCs w:val="24"/>
        </w:rPr>
        <w:t>PERENCANAAN DAN PERJANJIAN KINERJA</w:t>
      </w:r>
    </w:p>
    <w:p>
      <w:pPr>
        <w:pStyle w:val="13"/>
        <w:numPr>
          <w:ilvl w:val="0"/>
          <w:numId w:val="11"/>
        </w:numPr>
        <w:tabs>
          <w:tab w:val="left" w:leader="dot" w:pos="8820"/>
          <w:tab w:val="right" w:pos="9214"/>
          <w:tab w:val="right" w:pos="9360"/>
        </w:tabs>
        <w:spacing w:after="0" w:line="360" w:lineRule="auto"/>
        <w:ind w:left="1320"/>
        <w:rPr>
          <w:rFonts w:hint="default" w:ascii="Cambria" w:hAnsi="Cambria" w:cs="Cambria"/>
          <w:b/>
          <w:sz w:val="24"/>
          <w:szCs w:val="24"/>
        </w:rPr>
      </w:pPr>
      <w:r>
        <w:rPr>
          <w:rFonts w:hint="default" w:ascii="Cambria" w:hAnsi="Cambria" w:cs="Cambria"/>
          <w:sz w:val="24"/>
          <w:szCs w:val="24"/>
          <w:lang w:val="fi-FI"/>
        </w:rPr>
        <w:t xml:space="preserve">Rencana Strategis </w:t>
      </w:r>
    </w:p>
    <w:p>
      <w:pPr>
        <w:pStyle w:val="13"/>
        <w:numPr>
          <w:ilvl w:val="0"/>
          <w:numId w:val="11"/>
        </w:numPr>
        <w:tabs>
          <w:tab w:val="left" w:leader="dot" w:pos="8820"/>
          <w:tab w:val="right" w:pos="9214"/>
          <w:tab w:val="right" w:pos="9360"/>
        </w:tabs>
        <w:spacing w:after="0" w:line="360" w:lineRule="auto"/>
        <w:ind w:left="1320"/>
        <w:rPr>
          <w:rFonts w:hint="default" w:ascii="Cambria" w:hAnsi="Cambria" w:cs="Cambria"/>
          <w:b/>
          <w:sz w:val="24"/>
          <w:szCs w:val="24"/>
        </w:rPr>
      </w:pPr>
      <w:r>
        <w:rPr>
          <w:rFonts w:hint="default" w:ascii="Cambria" w:hAnsi="Cambria" w:cs="Cambria"/>
          <w:sz w:val="24"/>
          <w:szCs w:val="24"/>
          <w:lang w:val="fi-FI"/>
        </w:rPr>
        <w:t>Indikator Kinerja Utama</w:t>
      </w:r>
    </w:p>
    <w:p>
      <w:pPr>
        <w:pStyle w:val="13"/>
        <w:numPr>
          <w:ilvl w:val="0"/>
          <w:numId w:val="11"/>
        </w:numPr>
        <w:tabs>
          <w:tab w:val="left" w:leader="dot" w:pos="8820"/>
          <w:tab w:val="right" w:pos="9214"/>
          <w:tab w:val="right" w:pos="9360"/>
        </w:tabs>
        <w:spacing w:after="0" w:line="360" w:lineRule="auto"/>
        <w:ind w:left="1320"/>
        <w:rPr>
          <w:rFonts w:hint="default" w:ascii="Cambria" w:hAnsi="Cambria" w:cs="Cambria"/>
          <w:b/>
          <w:sz w:val="24"/>
          <w:szCs w:val="24"/>
        </w:rPr>
      </w:pPr>
      <w:r>
        <w:rPr>
          <w:rFonts w:hint="default" w:ascii="Cambria" w:hAnsi="Cambria" w:cs="Cambria"/>
          <w:sz w:val="24"/>
          <w:szCs w:val="24"/>
          <w:lang w:val="fi-FI"/>
        </w:rPr>
        <w:t>Rencana Kerja Tahunan</w:t>
      </w:r>
    </w:p>
    <w:p>
      <w:pPr>
        <w:pStyle w:val="13"/>
        <w:numPr>
          <w:ilvl w:val="0"/>
          <w:numId w:val="11"/>
        </w:numPr>
        <w:tabs>
          <w:tab w:val="left" w:leader="dot" w:pos="8820"/>
          <w:tab w:val="right" w:pos="9214"/>
          <w:tab w:val="right" w:pos="9360"/>
        </w:tabs>
        <w:spacing w:after="0" w:line="360" w:lineRule="auto"/>
        <w:ind w:left="1320"/>
        <w:rPr>
          <w:rFonts w:hint="default" w:ascii="Cambria" w:hAnsi="Cambria" w:cs="Cambria"/>
          <w:b/>
          <w:sz w:val="24"/>
          <w:szCs w:val="24"/>
        </w:rPr>
      </w:pPr>
      <w:r>
        <w:rPr>
          <w:rFonts w:hint="default" w:ascii="Cambria" w:hAnsi="Cambria" w:cs="Cambria"/>
          <w:sz w:val="24"/>
          <w:szCs w:val="24"/>
          <w:lang w:val="fi-FI"/>
        </w:rPr>
        <w:t>Perjanjian Kinerja Tahun 202</w:t>
      </w:r>
      <w:r>
        <w:rPr>
          <w:rFonts w:hint="default" w:ascii="Cambria" w:hAnsi="Cambria" w:cs="Cambria"/>
          <w:sz w:val="24"/>
          <w:szCs w:val="24"/>
        </w:rPr>
        <w:t>2</w:t>
      </w:r>
    </w:p>
    <w:p>
      <w:pPr>
        <w:tabs>
          <w:tab w:val="left" w:pos="1260"/>
          <w:tab w:val="left" w:pos="1440"/>
          <w:tab w:val="left" w:pos="1843"/>
          <w:tab w:val="left" w:leader="dot" w:pos="8820"/>
          <w:tab w:val="right" w:pos="9214"/>
          <w:tab w:val="right" w:pos="9360"/>
        </w:tabs>
        <w:spacing w:after="0" w:line="360" w:lineRule="auto"/>
        <w:ind w:left="709"/>
        <w:rPr>
          <w:rFonts w:hint="default" w:ascii="Cambria" w:hAnsi="Cambria" w:cs="Cambria"/>
          <w:b/>
          <w:sz w:val="24"/>
          <w:szCs w:val="24"/>
        </w:rPr>
      </w:pPr>
      <w:r>
        <w:rPr>
          <w:rFonts w:hint="default" w:ascii="Cambria" w:hAnsi="Cambria" w:cs="Cambria"/>
          <w:b/>
          <w:sz w:val="24"/>
          <w:szCs w:val="24"/>
        </w:rPr>
        <w:t>BAB. III.  AKUNTABILITAS KINERJA</w:t>
      </w:r>
    </w:p>
    <w:p>
      <w:pPr>
        <w:pStyle w:val="13"/>
        <w:numPr>
          <w:ilvl w:val="0"/>
          <w:numId w:val="12"/>
        </w:numPr>
        <w:tabs>
          <w:tab w:val="left" w:leader="dot" w:pos="8820"/>
          <w:tab w:val="right" w:pos="9214"/>
          <w:tab w:val="right" w:pos="9360"/>
        </w:tabs>
        <w:spacing w:after="0" w:line="360" w:lineRule="auto"/>
        <w:ind w:left="1276"/>
        <w:rPr>
          <w:rFonts w:hint="default" w:ascii="Cambria" w:hAnsi="Cambria" w:cs="Cambria"/>
          <w:b/>
          <w:sz w:val="24"/>
          <w:szCs w:val="24"/>
        </w:rPr>
      </w:pPr>
      <w:r>
        <w:rPr>
          <w:rFonts w:hint="default" w:ascii="Cambria" w:hAnsi="Cambria" w:cs="Cambria"/>
          <w:sz w:val="24"/>
          <w:szCs w:val="24"/>
        </w:rPr>
        <w:t xml:space="preserve">Pengukuran Kinerja </w:t>
      </w:r>
    </w:p>
    <w:p>
      <w:pPr>
        <w:pStyle w:val="13"/>
        <w:numPr>
          <w:ilvl w:val="0"/>
          <w:numId w:val="12"/>
        </w:numPr>
        <w:tabs>
          <w:tab w:val="left" w:leader="dot" w:pos="8820"/>
          <w:tab w:val="right" w:pos="9214"/>
          <w:tab w:val="right" w:pos="9360"/>
        </w:tabs>
        <w:spacing w:after="0" w:line="360" w:lineRule="auto"/>
        <w:ind w:left="1276"/>
        <w:rPr>
          <w:rFonts w:hint="default" w:ascii="Cambria" w:hAnsi="Cambria" w:cs="Cambria"/>
          <w:b/>
          <w:sz w:val="24"/>
          <w:szCs w:val="24"/>
        </w:rPr>
      </w:pPr>
      <w:r>
        <w:rPr>
          <w:rFonts w:hint="default" w:ascii="Cambria" w:hAnsi="Cambria" w:cs="Cambria"/>
          <w:sz w:val="24"/>
          <w:szCs w:val="24"/>
        </w:rPr>
        <w:t xml:space="preserve">Analisis Capaian Kinerja  </w:t>
      </w:r>
    </w:p>
    <w:p>
      <w:pPr>
        <w:pStyle w:val="13"/>
        <w:numPr>
          <w:ilvl w:val="0"/>
          <w:numId w:val="12"/>
        </w:numPr>
        <w:tabs>
          <w:tab w:val="left" w:leader="dot" w:pos="8820"/>
          <w:tab w:val="right" w:pos="9214"/>
          <w:tab w:val="right" w:pos="9360"/>
        </w:tabs>
        <w:spacing w:after="0" w:line="360" w:lineRule="auto"/>
        <w:ind w:left="1276"/>
        <w:rPr>
          <w:rFonts w:hint="default" w:ascii="Cambria" w:hAnsi="Cambria" w:cs="Cambria"/>
          <w:b/>
          <w:sz w:val="24"/>
          <w:szCs w:val="24"/>
        </w:rPr>
      </w:pPr>
      <w:r>
        <w:rPr>
          <w:rFonts w:hint="default" w:ascii="Cambria" w:hAnsi="Cambria" w:cs="Cambria"/>
          <w:sz w:val="24"/>
          <w:szCs w:val="24"/>
        </w:rPr>
        <w:t>Realisasi Keuangan</w:t>
      </w:r>
    </w:p>
    <w:p>
      <w:pPr>
        <w:tabs>
          <w:tab w:val="left" w:leader="dot" w:pos="8647"/>
          <w:tab w:val="right" w:pos="9214"/>
          <w:tab w:val="right" w:pos="9360"/>
        </w:tabs>
        <w:spacing w:after="0" w:line="360" w:lineRule="auto"/>
        <w:ind w:left="709"/>
        <w:rPr>
          <w:rFonts w:hint="default" w:ascii="Cambria" w:hAnsi="Cambria" w:cs="Cambria"/>
          <w:b/>
          <w:sz w:val="24"/>
          <w:szCs w:val="24"/>
        </w:rPr>
      </w:pPr>
      <w:r>
        <w:rPr>
          <w:rFonts w:hint="default" w:ascii="Cambria" w:hAnsi="Cambria" w:cs="Cambria"/>
          <w:b/>
          <w:sz w:val="24"/>
          <w:szCs w:val="24"/>
        </w:rPr>
        <w:t>BAB. IV. PENUTUP</w:t>
      </w:r>
    </w:p>
    <w:p>
      <w:pPr>
        <w:tabs>
          <w:tab w:val="left" w:leader="dot" w:pos="8647"/>
          <w:tab w:val="right" w:pos="9214"/>
          <w:tab w:val="right" w:pos="9360"/>
        </w:tabs>
        <w:spacing w:line="360" w:lineRule="auto"/>
        <w:ind w:left="709"/>
        <w:rPr>
          <w:rFonts w:hint="default" w:ascii="Cambria" w:hAnsi="Cambria" w:cs="Cambria"/>
          <w:sz w:val="24"/>
          <w:szCs w:val="24"/>
        </w:rPr>
      </w:pPr>
      <w:r>
        <w:rPr>
          <w:rFonts w:hint="default" w:ascii="Cambria" w:hAnsi="Cambria" w:cs="Cambria"/>
          <w:sz w:val="24"/>
          <w:szCs w:val="24"/>
        </w:rPr>
        <w:t xml:space="preserve">        Perjanjian Kinerja Tahun 2023</w:t>
      </w:r>
    </w:p>
    <w:p>
      <w:pPr>
        <w:pStyle w:val="13"/>
        <w:numPr>
          <w:ilvl w:val="0"/>
          <w:numId w:val="3"/>
        </w:numPr>
        <w:shd w:val="clear" w:color="auto" w:fill="FFFFFF" w:themeFill="background1"/>
        <w:spacing w:line="360" w:lineRule="auto"/>
        <w:ind w:left="709" w:hanging="283"/>
        <w:jc w:val="both"/>
        <w:rPr>
          <w:rFonts w:hint="default" w:ascii="Cambria" w:hAnsi="Cambria" w:cs="Cambria"/>
          <w:b/>
          <w:sz w:val="24"/>
          <w:szCs w:val="24"/>
        </w:rPr>
      </w:pPr>
      <w:r>
        <w:rPr>
          <w:rFonts w:hint="default" w:ascii="Cambria" w:hAnsi="Cambria" w:cs="Cambria"/>
          <w:b/>
          <w:sz w:val="24"/>
          <w:szCs w:val="24"/>
        </w:rPr>
        <w:t>Kinerja Pelayanan SKPD</w:t>
      </w:r>
    </w:p>
    <w:p>
      <w:pPr>
        <w:pStyle w:val="13"/>
        <w:shd w:val="clear" w:color="auto" w:fill="FFFFFF" w:themeFill="background1"/>
        <w:spacing w:line="360" w:lineRule="auto"/>
        <w:ind w:left="709" w:firstLine="709"/>
        <w:jc w:val="both"/>
        <w:rPr>
          <w:rFonts w:hint="default" w:ascii="Cambria" w:hAnsi="Cambria" w:cs="Cambria"/>
          <w:sz w:val="24"/>
          <w:szCs w:val="24"/>
        </w:rPr>
      </w:pPr>
      <w:r>
        <w:rPr>
          <w:rFonts w:hint="default" w:ascii="Cambria" w:hAnsi="Cambria" w:cs="Cambria"/>
          <w:sz w:val="24"/>
          <w:szCs w:val="24"/>
        </w:rPr>
        <w:t xml:space="preserve">Berisi uraian mengenai tingkat capaian kinerja SKPD berdasarkan sasaran/target renstra periode sebelumnya, indikator kinerja pelayanan SKPD atau indikator yang telah diratifikasi oleh Pemerintah. Pelaksanaan kapasitas pelayanan Dinas </w:t>
      </w:r>
      <w:r>
        <w:rPr>
          <w:rFonts w:hint="default" w:ascii="Cambria" w:hAnsi="Cambria" w:cs="Cambria"/>
          <w:bCs/>
          <w:sz w:val="24"/>
          <w:szCs w:val="24"/>
        </w:rPr>
        <w:t>Perindustrian, Perdagangan, Koperasi dan UKM</w:t>
      </w:r>
      <w:r>
        <w:rPr>
          <w:rFonts w:hint="default" w:ascii="Cambria" w:hAnsi="Cambria" w:cs="Cambria"/>
          <w:sz w:val="24"/>
          <w:szCs w:val="24"/>
        </w:rPr>
        <w:t xml:space="preserve"> Kabupaten Kepulauan Selayar dapat di kategorikan pada 6 (enam) peran yang saling terkait, yaitu :</w:t>
      </w:r>
    </w:p>
    <w:p>
      <w:pPr>
        <w:pStyle w:val="13"/>
        <w:numPr>
          <w:ilvl w:val="0"/>
          <w:numId w:val="13"/>
        </w:numPr>
        <w:shd w:val="clear" w:color="auto" w:fill="FFFFFF" w:themeFill="background1"/>
        <w:spacing w:line="360" w:lineRule="auto"/>
        <w:ind w:left="1276" w:hanging="567"/>
        <w:jc w:val="both"/>
        <w:rPr>
          <w:rFonts w:hint="default" w:ascii="Cambria" w:hAnsi="Cambria" w:cs="Cambria"/>
          <w:b/>
          <w:sz w:val="24"/>
          <w:szCs w:val="24"/>
        </w:rPr>
      </w:pPr>
      <w:r>
        <w:rPr>
          <w:rFonts w:hint="default" w:ascii="Cambria" w:hAnsi="Cambria" w:cs="Cambria"/>
          <w:sz w:val="24"/>
          <w:szCs w:val="24"/>
        </w:rPr>
        <w:t>Merumuskan kebijakan teknis di bidang perindustrian, perdagangan, koperasi dan usaha mikro kecil dan menengah sesuai kebijaksanaan perundang– undangan yang berlaku;</w:t>
      </w:r>
    </w:p>
    <w:p>
      <w:pPr>
        <w:pStyle w:val="13"/>
        <w:numPr>
          <w:ilvl w:val="0"/>
          <w:numId w:val="13"/>
        </w:numPr>
        <w:shd w:val="clear" w:color="auto" w:fill="FFFFFF" w:themeFill="background1"/>
        <w:spacing w:line="360" w:lineRule="auto"/>
        <w:ind w:left="1276" w:hanging="567"/>
        <w:jc w:val="both"/>
        <w:rPr>
          <w:rFonts w:hint="default" w:ascii="Cambria" w:hAnsi="Cambria" w:cs="Cambria"/>
          <w:b/>
          <w:sz w:val="24"/>
          <w:szCs w:val="24"/>
        </w:rPr>
      </w:pPr>
      <w:r>
        <w:rPr>
          <w:rFonts w:hint="default" w:ascii="Cambria" w:hAnsi="Cambria" w:cs="Cambria"/>
          <w:sz w:val="24"/>
          <w:szCs w:val="24"/>
        </w:rPr>
        <w:t>Penyusunan perumusan dan penjabaran kebijakan teknis, pemberian bimbingan, pembinaan, pengawasan dan pengendalian di bidang fasilitasi pembiayaan dan Koperasi, usaha mikro kecil dan menengah;</w:t>
      </w:r>
    </w:p>
    <w:p>
      <w:pPr>
        <w:pStyle w:val="13"/>
        <w:numPr>
          <w:ilvl w:val="0"/>
          <w:numId w:val="13"/>
        </w:numPr>
        <w:shd w:val="clear" w:color="auto" w:fill="FFFFFF" w:themeFill="background1"/>
        <w:spacing w:line="360" w:lineRule="auto"/>
        <w:ind w:left="1276" w:hanging="567"/>
        <w:jc w:val="both"/>
        <w:rPr>
          <w:rFonts w:hint="default" w:ascii="Cambria" w:hAnsi="Cambria" w:cs="Cambria"/>
          <w:b/>
          <w:sz w:val="24"/>
          <w:szCs w:val="24"/>
        </w:rPr>
      </w:pPr>
      <w:r>
        <w:rPr>
          <w:rFonts w:hint="default" w:ascii="Cambria" w:hAnsi="Cambria" w:cs="Cambria"/>
          <w:sz w:val="24"/>
          <w:szCs w:val="24"/>
        </w:rPr>
        <w:t>Pembinaan secara continue guna pengembangan UKM dan IKM, pembinaan dan pengembangan usaha kecil di tingkat kabupaten yang meliputi produksi, pemasaran, sumber daya manusia dan teknologi serta pemberian fasilitas usaha dalam rangka pengembangan industri dan perdagangan di kabupaten;</w:t>
      </w:r>
    </w:p>
    <w:p>
      <w:pPr>
        <w:pStyle w:val="13"/>
        <w:numPr>
          <w:ilvl w:val="0"/>
          <w:numId w:val="13"/>
        </w:numPr>
        <w:shd w:val="clear" w:color="auto" w:fill="FFFFFF" w:themeFill="background1"/>
        <w:spacing w:line="360" w:lineRule="auto"/>
        <w:ind w:left="1276" w:hanging="567"/>
        <w:jc w:val="both"/>
        <w:rPr>
          <w:rFonts w:hint="default" w:ascii="Cambria" w:hAnsi="Cambria" w:cs="Cambria"/>
          <w:b/>
          <w:sz w:val="24"/>
          <w:szCs w:val="24"/>
        </w:rPr>
      </w:pPr>
      <w:r>
        <w:rPr>
          <w:rFonts w:hint="default" w:ascii="Cambria" w:hAnsi="Cambria" w:cs="Cambria"/>
          <w:sz w:val="24"/>
          <w:szCs w:val="24"/>
        </w:rPr>
        <w:t>Pembinaan dan pengoordinasian perlindungan konsumen dan pengawasan barang–barang beredar serta pengkoordinasian dengan aparat penegak hukum dalam penanganan kasus–kasus yang berkaitan dengan perdagangan berjangka komoditi;</w:t>
      </w:r>
    </w:p>
    <w:p>
      <w:pPr>
        <w:pStyle w:val="13"/>
        <w:numPr>
          <w:ilvl w:val="0"/>
          <w:numId w:val="13"/>
        </w:numPr>
        <w:shd w:val="clear" w:color="auto" w:fill="FFFFFF" w:themeFill="background1"/>
        <w:spacing w:line="360" w:lineRule="auto"/>
        <w:ind w:left="1276" w:hanging="567"/>
        <w:jc w:val="both"/>
        <w:rPr>
          <w:rFonts w:hint="default" w:ascii="Cambria" w:hAnsi="Cambria" w:cs="Cambria"/>
          <w:b/>
          <w:sz w:val="24"/>
          <w:szCs w:val="24"/>
        </w:rPr>
      </w:pPr>
      <w:r>
        <w:rPr>
          <w:rFonts w:hint="default" w:ascii="Cambria" w:hAnsi="Cambria" w:cs="Cambria"/>
          <w:sz w:val="24"/>
          <w:szCs w:val="24"/>
        </w:rPr>
        <w:t>Pembinaan, koordinasi pemberdayaan dan pengembangan koperasi usaha mikro kecil dan menengah serta peningkatan sumber daya manusia koperasi, usaha mikro kecil dan menengah, aparatur pembina serta pembinaan dan pengembangan usaha kecil di tingkat kabupaten yang meliputi produksi, pemasaran, sumber daya manusia dan teknologi;</w:t>
      </w:r>
    </w:p>
    <w:p>
      <w:pPr>
        <w:pStyle w:val="13"/>
        <w:numPr>
          <w:ilvl w:val="0"/>
          <w:numId w:val="13"/>
        </w:numPr>
        <w:shd w:val="clear" w:color="auto" w:fill="FFFFFF" w:themeFill="background1"/>
        <w:spacing w:line="360" w:lineRule="auto"/>
        <w:ind w:left="1276" w:hanging="567"/>
        <w:jc w:val="both"/>
        <w:rPr>
          <w:rFonts w:hint="default" w:ascii="Cambria" w:hAnsi="Cambria" w:cs="Cambria"/>
          <w:b/>
          <w:sz w:val="24"/>
          <w:szCs w:val="24"/>
        </w:rPr>
      </w:pPr>
      <w:r>
        <w:rPr>
          <w:rFonts w:hint="default" w:ascii="Cambria" w:hAnsi="Cambria" w:cs="Cambria"/>
          <w:sz w:val="24"/>
          <w:szCs w:val="24"/>
        </w:rPr>
        <w:t>Pembinaan dan koordinasi pemberdayaan dan pengembangan koperasi usaha mikro kecil dan menengah serta peningkatan sumber daya manusia koperasi dan usaha mikro kecil dan menengah dan aparatur pembina serta pembinaan dan pengembangan usaha kecil di tingkat kabupaten yang meliputi produksi, pemasaran, sumber daya manusia dan teknologi.</w:t>
      </w:r>
    </w:p>
    <w:p>
      <w:pPr>
        <w:pStyle w:val="13"/>
        <w:shd w:val="clear" w:color="auto" w:fill="FFFFFF" w:themeFill="background1"/>
        <w:spacing w:line="360" w:lineRule="auto"/>
        <w:ind w:left="1276"/>
        <w:jc w:val="both"/>
        <w:rPr>
          <w:rFonts w:hint="default" w:ascii="Cambria" w:hAnsi="Cambria" w:cs="Cambria"/>
          <w:b/>
          <w:sz w:val="24"/>
          <w:szCs w:val="24"/>
        </w:rPr>
      </w:pPr>
    </w:p>
    <w:p>
      <w:pPr>
        <w:pStyle w:val="13"/>
        <w:numPr>
          <w:ilvl w:val="0"/>
          <w:numId w:val="3"/>
        </w:numPr>
        <w:shd w:val="clear" w:color="auto" w:fill="FFFFFF" w:themeFill="background1"/>
        <w:spacing w:line="360" w:lineRule="auto"/>
        <w:ind w:left="709" w:hanging="283"/>
        <w:jc w:val="both"/>
        <w:rPr>
          <w:rFonts w:hint="default" w:ascii="Cambria" w:hAnsi="Cambria" w:cs="Cambria"/>
          <w:b/>
          <w:sz w:val="24"/>
          <w:szCs w:val="24"/>
        </w:rPr>
      </w:pPr>
      <w:r>
        <w:rPr>
          <w:rFonts w:hint="default" w:ascii="Cambria" w:hAnsi="Cambria" w:cs="Cambria"/>
          <w:b/>
          <w:sz w:val="24"/>
          <w:szCs w:val="24"/>
        </w:rPr>
        <w:t>Inovasi</w:t>
      </w:r>
    </w:p>
    <w:p>
      <w:pPr>
        <w:pStyle w:val="13"/>
        <w:shd w:val="clear" w:color="auto" w:fill="FFFFFF" w:themeFill="background1"/>
        <w:spacing w:line="360" w:lineRule="auto"/>
        <w:ind w:left="709" w:firstLine="709"/>
        <w:jc w:val="both"/>
        <w:rPr>
          <w:rFonts w:hint="default" w:ascii="Cambria" w:hAnsi="Cambria" w:cs="Cambria"/>
          <w:color w:val="000000"/>
          <w:spacing w:val="3"/>
          <w:sz w:val="24"/>
          <w:szCs w:val="24"/>
          <w:shd w:val="clear" w:color="auto" w:fill="FFFFFF"/>
        </w:rPr>
      </w:pPr>
      <w:r>
        <w:rPr>
          <w:rFonts w:hint="default" w:ascii="Cambria" w:hAnsi="Cambria" w:cs="Cambria"/>
          <w:sz w:val="24"/>
          <w:szCs w:val="24"/>
        </w:rPr>
        <w:t xml:space="preserve">Sampai saat ini </w:t>
      </w:r>
      <w:r>
        <w:rPr>
          <w:rFonts w:hint="default" w:ascii="Cambria" w:hAnsi="Cambria" w:cs="Cambria"/>
          <w:sz w:val="24"/>
          <w:szCs w:val="24"/>
          <w:lang w:val="fi-FI"/>
        </w:rPr>
        <w:t xml:space="preserve">Dinas Perindustrian, Perdagangan, Koperasi, Usaha Kecil dan Menengah Kabupaten Kepulauan Selayar bekerjasama dengan </w:t>
      </w:r>
      <w:r>
        <w:rPr>
          <w:rFonts w:hint="default" w:ascii="Cambria" w:hAnsi="Cambria" w:cs="Cambria"/>
          <w:color w:val="000000"/>
          <w:spacing w:val="3"/>
          <w:sz w:val="24"/>
          <w:szCs w:val="24"/>
          <w:shd w:val="clear" w:color="auto" w:fill="FFFFFF"/>
        </w:rPr>
        <w:t>Kementerian Koperasi dan UKM menggelar pelatihan bagi wirausaha pemula di Kabupaten Selayar, Sulawesi Selatan. Pelatihan lebih difokuskan pada bidang digital marketing, desain produk, dan penciptaan produk yang market oriented.</w:t>
      </w:r>
    </w:p>
    <w:p>
      <w:pPr>
        <w:pStyle w:val="13"/>
        <w:shd w:val="clear" w:color="auto" w:fill="FFFFFF" w:themeFill="background1"/>
        <w:spacing w:line="360" w:lineRule="auto"/>
        <w:ind w:left="709" w:firstLine="709"/>
        <w:jc w:val="both"/>
        <w:rPr>
          <w:rFonts w:hint="default" w:ascii="Cambria" w:hAnsi="Cambria" w:cs="Cambria"/>
          <w:color w:val="000000"/>
          <w:spacing w:val="3"/>
          <w:sz w:val="24"/>
          <w:szCs w:val="24"/>
          <w:shd w:val="clear" w:color="auto" w:fill="FFFFFF"/>
        </w:rPr>
      </w:pPr>
      <w:r>
        <w:rPr>
          <w:rFonts w:hint="default" w:ascii="Cambria" w:hAnsi="Cambria" w:cs="Cambria"/>
          <w:color w:val="000000"/>
          <w:spacing w:val="3"/>
          <w:sz w:val="24"/>
          <w:szCs w:val="24"/>
          <w:shd w:val="clear" w:color="auto" w:fill="FFFFFF"/>
        </w:rPr>
        <w:t>Dengan melihat berkembang pesatnya pariwisata Kabupaten Kepulauan Selayar sehingga harus diikuti peningkatan ekonomi masyarakat lokal dengan melahirkan para wirausahawan yang kreatif dan inovatif yang mampu menciptakan lapangan pekerjaan.  Dinas Perindag KUKM juga mendorong para pelaku usaha membentuk sebuah wadah koperasi yang mengatasi kebutuhan anggotanya, dan menjunjung tinggi kebersamaan dalam tolong menolong.</w:t>
      </w:r>
    </w:p>
    <w:p>
      <w:pPr>
        <w:pStyle w:val="13"/>
        <w:shd w:val="clear" w:color="auto" w:fill="FFFFFF" w:themeFill="background1"/>
        <w:spacing w:line="360" w:lineRule="auto"/>
        <w:ind w:left="709" w:firstLine="709"/>
        <w:jc w:val="both"/>
        <w:rPr>
          <w:rFonts w:hint="default" w:ascii="Cambria" w:hAnsi="Cambria" w:cs="Cambria"/>
          <w:color w:val="auto"/>
          <w:spacing w:val="3"/>
          <w:sz w:val="24"/>
          <w:szCs w:val="24"/>
          <w:shd w:val="clear" w:color="auto" w:fill="FFFFFF"/>
        </w:rPr>
      </w:pPr>
      <w:r>
        <w:rPr>
          <w:rFonts w:hint="default" w:ascii="Cambria" w:hAnsi="Cambria" w:cs="Cambria"/>
          <w:color w:val="000000"/>
          <w:spacing w:val="3"/>
          <w:sz w:val="24"/>
          <w:szCs w:val="24"/>
          <w:shd w:val="clear" w:color="auto" w:fill="FFFFFF"/>
        </w:rPr>
        <w:t>Kegiatan pelatihan kewirausahaan tersebut berbasis potensi lokal bidang olahan komoditas kelapa dan pelatihan vocational bidang olahan komoditas ikan dengan total peserta sebanyak</w:t>
      </w:r>
      <w:r>
        <w:rPr>
          <w:rFonts w:hint="default" w:ascii="Cambria" w:hAnsi="Cambria" w:cs="Cambria"/>
          <w:color w:val="auto"/>
          <w:spacing w:val="3"/>
          <w:sz w:val="24"/>
          <w:szCs w:val="24"/>
          <w:shd w:val="clear" w:color="auto" w:fill="FFFFFF"/>
        </w:rPr>
        <w:t xml:space="preserve"> </w:t>
      </w:r>
      <w:r>
        <w:rPr>
          <w:rFonts w:hint="default" w:ascii="Cambria" w:hAnsi="Cambria" w:cs="Cambria"/>
          <w:color w:val="auto"/>
          <w:spacing w:val="3"/>
          <w:sz w:val="24"/>
          <w:szCs w:val="24"/>
          <w:shd w:val="clear" w:color="auto" w:fill="FFFFFF"/>
          <w:lang w:val="en-US"/>
        </w:rPr>
        <w:t>275</w:t>
      </w:r>
      <w:r>
        <w:rPr>
          <w:rFonts w:hint="default" w:ascii="Cambria" w:hAnsi="Cambria" w:cs="Cambria"/>
          <w:color w:val="auto"/>
          <w:spacing w:val="3"/>
          <w:sz w:val="24"/>
          <w:szCs w:val="24"/>
          <w:shd w:val="clear" w:color="auto" w:fill="FFFFFF"/>
        </w:rPr>
        <w:t xml:space="preserve"> orang pelaku IKM/UMKM se-Kabupaten Kepulauan Selayar</w:t>
      </w:r>
    </w:p>
    <w:p>
      <w:pPr>
        <w:pStyle w:val="13"/>
        <w:shd w:val="clear" w:color="auto" w:fill="FFFFFF" w:themeFill="background1"/>
        <w:spacing w:line="360" w:lineRule="auto"/>
        <w:ind w:left="709" w:firstLine="709"/>
        <w:jc w:val="both"/>
        <w:rPr>
          <w:rFonts w:hint="default" w:ascii="Cambria" w:hAnsi="Cambria" w:cs="Cambria"/>
          <w:color w:val="auto"/>
          <w:spacing w:val="3"/>
          <w:sz w:val="24"/>
          <w:szCs w:val="24"/>
          <w:shd w:val="clear" w:color="auto" w:fill="FFFFFF"/>
        </w:rPr>
      </w:pPr>
      <w:r>
        <w:rPr>
          <w:rFonts w:hint="default" w:ascii="Cambria" w:hAnsi="Cambria" w:cs="Cambria"/>
          <w:color w:val="auto"/>
          <w:spacing w:val="3"/>
          <w:sz w:val="24"/>
          <w:szCs w:val="24"/>
          <w:shd w:val="clear" w:color="auto" w:fill="FFFFFF"/>
        </w:rPr>
        <w:t>Pelatihan ini dilaksanakan untuk meningkatkan kapasitas UMKM, dengan mendatangkan para ahli sebagai instrukturnya. Seperti instruktur digital marketing, olahan kelapa melalui pembuatan VCO, minyak kelapa, kerajinan berbahan batok kelapa, olahan ikan melalui pembuatan bakso ikan, siomay ikan dan otak-otak ikan.</w:t>
      </w:r>
    </w:p>
    <w:p>
      <w:pPr>
        <w:pStyle w:val="13"/>
        <w:shd w:val="clear" w:color="auto" w:fill="FFFFFF" w:themeFill="background1"/>
        <w:spacing w:line="360" w:lineRule="auto"/>
        <w:ind w:left="709" w:firstLine="709"/>
        <w:jc w:val="both"/>
        <w:rPr>
          <w:rFonts w:hint="default" w:ascii="Cambria" w:hAnsi="Cambria" w:cs="Cambria"/>
          <w:color w:val="000000"/>
          <w:spacing w:val="3"/>
          <w:sz w:val="24"/>
          <w:szCs w:val="24"/>
          <w:shd w:val="clear" w:color="auto" w:fill="FFFFFF"/>
        </w:rPr>
      </w:pPr>
      <w:r>
        <w:rPr>
          <w:rFonts w:hint="default" w:ascii="Cambria" w:hAnsi="Cambria" w:cs="Cambria"/>
          <w:color w:val="000000"/>
          <w:spacing w:val="3"/>
          <w:sz w:val="24"/>
          <w:szCs w:val="24"/>
          <w:shd w:val="clear" w:color="auto" w:fill="FFFFFF"/>
        </w:rPr>
        <w:t>Dalam pelaksanaannya, peserta bisa langsung praktek dengan didampingi instrukturnya. Sehingga, para peserta dapat langsung melakukannya setelah selesai kegiatan, para pelaku wirausaha harus mampu memanfaatkan perkembangan teknologi informasi ini untuk memacu produktifitas dan meningkatkan efisiensi usaha.</w:t>
      </w:r>
    </w:p>
    <w:p>
      <w:pPr>
        <w:pStyle w:val="13"/>
        <w:shd w:val="clear" w:color="auto" w:fill="FFFFFF" w:themeFill="background1"/>
        <w:spacing w:line="360" w:lineRule="auto"/>
        <w:ind w:left="709" w:firstLine="709"/>
        <w:jc w:val="both"/>
        <w:rPr>
          <w:rFonts w:hint="default" w:ascii="Cambria" w:hAnsi="Cambria" w:cs="Cambria"/>
          <w:color w:val="000000"/>
          <w:spacing w:val="3"/>
          <w:sz w:val="24"/>
          <w:szCs w:val="24"/>
          <w:shd w:val="clear" w:color="auto" w:fill="FFFFFF"/>
        </w:rPr>
      </w:pPr>
      <w:r>
        <w:rPr>
          <w:rFonts w:hint="default" w:ascii="Cambria" w:hAnsi="Cambria" w:cs="Cambria"/>
          <w:color w:val="000000"/>
          <w:spacing w:val="3"/>
          <w:sz w:val="24"/>
          <w:szCs w:val="24"/>
          <w:shd w:val="clear" w:color="auto" w:fill="FFFFFF"/>
        </w:rPr>
        <w:t>Selain itu,  Pelaku usaha juga harus jeli dalam melihat dan menangkap peluang usaha yang muncul seiring berkembangnya teknologi informasi para wirausaha jangan cepat berpuas diri dan tidak lagi berpatokan hanya product oriented, tetapi harus market oriented. "Artinya, harus bisa menghasilkan apa yang dibutuhkan pasar saat ini dan akan datang”.</w:t>
      </w:r>
    </w:p>
    <w:p>
      <w:pPr>
        <w:pStyle w:val="13"/>
        <w:shd w:val="clear" w:color="auto" w:fill="FFFFFF" w:themeFill="background1"/>
        <w:spacing w:line="360" w:lineRule="auto"/>
        <w:ind w:left="709" w:firstLine="709"/>
        <w:jc w:val="both"/>
        <w:rPr>
          <w:rFonts w:hint="default" w:ascii="Cambria" w:hAnsi="Cambria" w:cs="Cambria"/>
          <w:b/>
          <w:sz w:val="24"/>
          <w:szCs w:val="24"/>
        </w:rPr>
      </w:pPr>
    </w:p>
    <w:p>
      <w:pPr>
        <w:pStyle w:val="13"/>
        <w:numPr>
          <w:ilvl w:val="0"/>
          <w:numId w:val="1"/>
        </w:numPr>
        <w:shd w:val="clear" w:color="auto" w:fill="FFFFFF" w:themeFill="background1"/>
        <w:spacing w:line="360" w:lineRule="auto"/>
        <w:ind w:left="426" w:hanging="426"/>
        <w:jc w:val="both"/>
        <w:rPr>
          <w:rFonts w:hint="default" w:ascii="Cambria" w:hAnsi="Cambria" w:cs="Cambria"/>
          <w:b/>
          <w:sz w:val="24"/>
          <w:szCs w:val="24"/>
        </w:rPr>
      </w:pPr>
      <w:r>
        <w:rPr>
          <w:rFonts w:hint="default" w:ascii="Cambria" w:hAnsi="Cambria" w:cs="Cambria"/>
          <w:b/>
          <w:sz w:val="24"/>
          <w:szCs w:val="24"/>
        </w:rPr>
        <w:t>ISU-ISU STRATEGIS</w:t>
      </w:r>
    </w:p>
    <w:p>
      <w:pPr>
        <w:pStyle w:val="13"/>
        <w:shd w:val="clear" w:color="auto" w:fill="FFFFFF" w:themeFill="background1"/>
        <w:spacing w:line="360" w:lineRule="auto"/>
        <w:ind w:left="426" w:firstLine="992"/>
        <w:jc w:val="both"/>
        <w:rPr>
          <w:rFonts w:hint="default" w:ascii="Cambria" w:hAnsi="Cambria" w:cs="Cambria"/>
          <w:sz w:val="24"/>
          <w:szCs w:val="24"/>
        </w:rPr>
      </w:pPr>
      <w:r>
        <w:rPr>
          <w:rFonts w:hint="default" w:ascii="Cambria" w:hAnsi="Cambria" w:cs="Cambria"/>
          <w:sz w:val="24"/>
          <w:szCs w:val="24"/>
        </w:rPr>
        <w:t>Dinas Perindustrian, Perdagangan, Koperasi Usaha Kecil dan Menengah Kabupaten Kepulauan Selayar mempunyai tugas melaksanakan penyelenggaraan urusan pemerintahan dan pelayanan umum di bidang Perindustrian, Perdagangan, Koperasi dan UKM. Dalam melaksanakan tugas dan fungsi tersebut terdapat beberapa isu-isu strategis, antara lain:</w:t>
      </w:r>
    </w:p>
    <w:p>
      <w:pPr>
        <w:shd w:val="clear" w:color="auto" w:fill="FFFFFF" w:themeFill="background1"/>
        <w:spacing w:after="0" w:line="360" w:lineRule="auto"/>
        <w:ind w:left="1134" w:hanging="708"/>
        <w:jc w:val="both"/>
        <w:rPr>
          <w:rFonts w:hint="default" w:ascii="Cambria" w:hAnsi="Cambria" w:cs="Cambria"/>
          <w:b/>
          <w:sz w:val="24"/>
          <w:szCs w:val="24"/>
        </w:rPr>
      </w:pPr>
      <w:r>
        <w:rPr>
          <w:rFonts w:hint="default" w:ascii="Cambria" w:hAnsi="Cambria" w:cs="Cambria"/>
          <w:b/>
          <w:sz w:val="24"/>
          <w:szCs w:val="24"/>
        </w:rPr>
        <w:t>D.1. BIDANG INDUSTRI</w:t>
      </w:r>
    </w:p>
    <w:p>
      <w:pPr>
        <w:shd w:val="clear" w:color="auto" w:fill="FFFFFF" w:themeFill="background1"/>
        <w:spacing w:after="0" w:line="360" w:lineRule="auto"/>
        <w:ind w:left="851"/>
        <w:jc w:val="both"/>
        <w:rPr>
          <w:rFonts w:hint="default" w:ascii="Cambria" w:hAnsi="Cambria" w:cs="Cambria"/>
          <w:sz w:val="24"/>
          <w:szCs w:val="24"/>
        </w:rPr>
      </w:pPr>
      <w:r>
        <w:rPr>
          <w:rFonts w:hint="default" w:ascii="Cambria" w:hAnsi="Cambria" w:cs="Cambria"/>
          <w:sz w:val="24"/>
          <w:szCs w:val="24"/>
        </w:rPr>
        <w:t>Isu-isu strategis bidang urusan perindustrian adalah sebagai berikut:</w:t>
      </w:r>
    </w:p>
    <w:p>
      <w:pPr>
        <w:pStyle w:val="13"/>
        <w:numPr>
          <w:ilvl w:val="0"/>
          <w:numId w:val="14"/>
        </w:numPr>
        <w:shd w:val="clear" w:color="auto" w:fill="FFFFFF" w:themeFill="background1"/>
        <w:spacing w:after="0" w:line="360" w:lineRule="auto"/>
        <w:ind w:hanging="295"/>
        <w:jc w:val="both"/>
        <w:rPr>
          <w:rFonts w:hint="default" w:ascii="Cambria" w:hAnsi="Cambria" w:cs="Cambria"/>
          <w:sz w:val="24"/>
          <w:szCs w:val="24"/>
        </w:rPr>
      </w:pPr>
      <w:r>
        <w:rPr>
          <w:rFonts w:hint="default" w:ascii="Cambria" w:hAnsi="Cambria" w:cs="Cambria"/>
          <w:sz w:val="24"/>
          <w:szCs w:val="24"/>
        </w:rPr>
        <w:t>Belum optimalnya Data lewat SIINAS karena terkendala banyaknya persyaratan tambahan data dukung yang sulit dipenuhi olehn pelaku IKM seperti NPWP, Nomor Induk Berusaha, OSS, dan lainnya.</w:t>
      </w:r>
    </w:p>
    <w:p>
      <w:pPr>
        <w:pStyle w:val="13"/>
        <w:numPr>
          <w:ilvl w:val="0"/>
          <w:numId w:val="14"/>
        </w:numPr>
        <w:shd w:val="clear" w:color="auto" w:fill="FFFFFF" w:themeFill="background1"/>
        <w:spacing w:after="0" w:line="360" w:lineRule="auto"/>
        <w:ind w:hanging="295"/>
        <w:jc w:val="both"/>
        <w:rPr>
          <w:rFonts w:hint="default" w:ascii="Cambria" w:hAnsi="Cambria" w:cs="Cambria"/>
          <w:sz w:val="24"/>
          <w:szCs w:val="24"/>
        </w:rPr>
      </w:pPr>
      <w:r>
        <w:rPr>
          <w:rFonts w:hint="default" w:ascii="Cambria" w:hAnsi="Cambria" w:cs="Cambria"/>
          <w:sz w:val="24"/>
          <w:szCs w:val="24"/>
        </w:rPr>
        <w:t xml:space="preserve">Luasnya area cakupan pelaku industri meliputi 6 (enam) kecamatan di Kepulauan, sehingga sulit untuk mengakses pelaku Industri secara bersamaan.  </w:t>
      </w:r>
    </w:p>
    <w:p>
      <w:pPr>
        <w:pStyle w:val="13"/>
        <w:numPr>
          <w:ilvl w:val="0"/>
          <w:numId w:val="14"/>
        </w:numPr>
        <w:shd w:val="clear" w:color="auto" w:fill="FFFFFF" w:themeFill="background1"/>
        <w:spacing w:after="0" w:line="360" w:lineRule="auto"/>
        <w:ind w:hanging="295"/>
        <w:jc w:val="both"/>
        <w:rPr>
          <w:rFonts w:hint="default" w:ascii="Cambria" w:hAnsi="Cambria" w:cs="Cambria"/>
          <w:sz w:val="24"/>
          <w:szCs w:val="24"/>
        </w:rPr>
      </w:pPr>
      <w:r>
        <w:rPr>
          <w:rFonts w:hint="default" w:ascii="Cambria" w:hAnsi="Cambria" w:cs="Cambria"/>
          <w:sz w:val="24"/>
          <w:szCs w:val="24"/>
        </w:rPr>
        <w:t>Jumlah anggaran yang tersedia sangat terbatas.</w:t>
      </w:r>
    </w:p>
    <w:p>
      <w:pPr>
        <w:pStyle w:val="13"/>
        <w:numPr>
          <w:ilvl w:val="0"/>
          <w:numId w:val="14"/>
        </w:numPr>
        <w:shd w:val="clear" w:color="auto" w:fill="FFFFFF" w:themeFill="background1"/>
        <w:spacing w:after="0" w:line="360" w:lineRule="auto"/>
        <w:ind w:hanging="295"/>
        <w:jc w:val="both"/>
        <w:rPr>
          <w:rFonts w:hint="default" w:ascii="Cambria" w:hAnsi="Cambria" w:cs="Cambria"/>
          <w:sz w:val="24"/>
          <w:szCs w:val="24"/>
        </w:rPr>
      </w:pPr>
      <w:r>
        <w:rPr>
          <w:rFonts w:hint="default" w:ascii="Cambria" w:hAnsi="Cambria" w:cs="Cambria"/>
          <w:sz w:val="24"/>
          <w:szCs w:val="24"/>
        </w:rPr>
        <w:t>Masih lemahnya SDM pelaku IKM di Kabupaten Kepulauan Selayar</w:t>
      </w:r>
    </w:p>
    <w:p>
      <w:pPr>
        <w:pStyle w:val="13"/>
        <w:numPr>
          <w:ilvl w:val="0"/>
          <w:numId w:val="14"/>
        </w:numPr>
        <w:shd w:val="clear" w:color="auto" w:fill="FFFFFF" w:themeFill="background1"/>
        <w:spacing w:after="0" w:line="360" w:lineRule="auto"/>
        <w:ind w:hanging="295"/>
        <w:jc w:val="both"/>
        <w:rPr>
          <w:rFonts w:hint="default" w:ascii="Cambria" w:hAnsi="Cambria" w:cs="Cambria"/>
          <w:sz w:val="24"/>
          <w:szCs w:val="24"/>
        </w:rPr>
      </w:pPr>
      <w:r>
        <w:rPr>
          <w:rFonts w:hint="default" w:ascii="Cambria" w:hAnsi="Cambria" w:cs="Cambria"/>
          <w:sz w:val="24"/>
          <w:szCs w:val="24"/>
        </w:rPr>
        <w:t>Sulitnya mengakses permodalan karena keterbatasan lembaga bank dan non bank, hal ini yang menyebabkan pelaku IKM sangat sulit untuk ekspansi usaha, untuk dikepulauan lembaga keuangan bank yang ada baru 1 (satu), itupun statusnya masih kantor kas sehingga tidak bisa memutus kredit, hal ini menyebabkan semua pelaku usaha yang berdomisili di 6 (enam) kecamatan kepulauan  harus datang ke ibu kota kabupaten untuk bisa mengakses kredit dilembaga keuangan. Itupun maksimal hanya Rp. 500 juta untuk pengambilan diatas Rp. 500 Juta harus diakses lewat kantor wilayah Makassar.</w:t>
      </w:r>
    </w:p>
    <w:p>
      <w:pPr>
        <w:pStyle w:val="13"/>
        <w:numPr>
          <w:ilvl w:val="0"/>
          <w:numId w:val="14"/>
        </w:numPr>
        <w:shd w:val="clear" w:color="auto" w:fill="FFFFFF" w:themeFill="background1"/>
        <w:spacing w:after="0" w:line="360" w:lineRule="auto"/>
        <w:ind w:hanging="295"/>
        <w:jc w:val="both"/>
        <w:rPr>
          <w:rFonts w:hint="default" w:ascii="Cambria" w:hAnsi="Cambria" w:cs="Cambria"/>
          <w:sz w:val="24"/>
          <w:szCs w:val="24"/>
        </w:rPr>
      </w:pPr>
      <w:r>
        <w:rPr>
          <w:rFonts w:hint="default" w:ascii="Cambria" w:hAnsi="Cambria" w:cs="Cambria"/>
          <w:sz w:val="24"/>
          <w:szCs w:val="24"/>
        </w:rPr>
        <w:t xml:space="preserve">Lemahnya Daya Saing Industri Kecil Menengah dan Kurang kondusifnya lingkungan usaha memiliki implikasi besar terhadap penurunan daya saing ekonomi, disebabkan oleh kurangnya hubungan kemitraan dalam hal pemasaran, design produk yang masih konservatif, kualitas produk belum memenuhi standar pasar, dan sisi higyenis produk yang masih perlu ditingkatkan, cita rasa yang masih perlu mendapat diperensiasi dan lainnya. </w:t>
      </w:r>
    </w:p>
    <w:p>
      <w:pPr>
        <w:pStyle w:val="13"/>
        <w:numPr>
          <w:ilvl w:val="0"/>
          <w:numId w:val="14"/>
        </w:numPr>
        <w:shd w:val="clear" w:color="auto" w:fill="FFFFFF" w:themeFill="background1"/>
        <w:spacing w:after="0" w:line="360" w:lineRule="auto"/>
        <w:ind w:hanging="295"/>
        <w:jc w:val="both"/>
        <w:rPr>
          <w:rFonts w:hint="default" w:ascii="Cambria" w:hAnsi="Cambria" w:cs="Cambria"/>
          <w:sz w:val="24"/>
          <w:szCs w:val="24"/>
        </w:rPr>
      </w:pPr>
      <w:r>
        <w:rPr>
          <w:rFonts w:hint="default" w:ascii="Cambria" w:hAnsi="Cambria" w:cs="Cambria"/>
          <w:sz w:val="24"/>
          <w:szCs w:val="24"/>
        </w:rPr>
        <w:t>Untuk tahun berjalan, belum optimalnya peran strategis struktur industri dan ekonomi di Kabupaten Kepulauan Selayar disebabkan karena banyaknya anggaran yang direcofusing dan diarahkan kepada penangangan dampak bencana dan inflasi.</w:t>
      </w:r>
    </w:p>
    <w:p>
      <w:pPr>
        <w:pStyle w:val="13"/>
        <w:numPr>
          <w:ilvl w:val="0"/>
          <w:numId w:val="14"/>
        </w:numPr>
        <w:shd w:val="clear" w:color="auto" w:fill="FFFFFF" w:themeFill="background1"/>
        <w:spacing w:after="0" w:line="360" w:lineRule="auto"/>
        <w:ind w:hanging="295"/>
        <w:jc w:val="both"/>
        <w:rPr>
          <w:rFonts w:hint="default" w:ascii="Cambria" w:hAnsi="Cambria" w:cs="Cambria"/>
          <w:sz w:val="24"/>
          <w:szCs w:val="24"/>
        </w:rPr>
      </w:pPr>
      <w:r>
        <w:rPr>
          <w:rFonts w:hint="default" w:ascii="Cambria" w:hAnsi="Cambria" w:cs="Cambria"/>
          <w:sz w:val="24"/>
          <w:szCs w:val="24"/>
        </w:rPr>
        <w:t xml:space="preserve">Belum optimalnya realisasi program kepulaun selayar sebagai Pusat Distribusi Logistik (PDL) kawasan indonesia timur dan pembangunan Kawasan Industri Selayar (KIS) </w:t>
      </w:r>
    </w:p>
    <w:p>
      <w:pPr>
        <w:pStyle w:val="19"/>
        <w:spacing w:line="360" w:lineRule="auto"/>
        <w:ind w:left="426" w:firstLine="674"/>
        <w:jc w:val="both"/>
        <w:rPr>
          <w:rFonts w:hint="default" w:ascii="Cambria" w:hAnsi="Cambria" w:cs="Cambria"/>
          <w:bCs/>
          <w:color w:val="auto"/>
          <w:sz w:val="24"/>
          <w:szCs w:val="24"/>
        </w:rPr>
      </w:pPr>
      <w:r>
        <w:rPr>
          <w:rFonts w:hint="default" w:ascii="Cambria" w:hAnsi="Cambria" w:cs="Cambria"/>
          <w:bCs/>
          <w:color w:val="auto"/>
          <w:sz w:val="24"/>
          <w:szCs w:val="24"/>
        </w:rPr>
        <w:tab/>
      </w:r>
      <w:r>
        <w:rPr>
          <w:rFonts w:hint="default" w:ascii="Cambria" w:hAnsi="Cambria" w:cs="Cambria"/>
          <w:bCs/>
          <w:color w:val="auto"/>
          <w:sz w:val="24"/>
          <w:szCs w:val="24"/>
        </w:rPr>
        <w:t>Namun Pencapaian kinerja di tahun 2022, Dinas Perindagkum Kabupaten Kepulauan Selayar telah mencanangkan program Pengembangan Kawasan Distribusi Logistik Indonesia Timur dan Kawasan Industri yang terintegrasi dengan segala sarana penunjang pelaksanaan sebuah bandar niaga di Kabupaten Kepuluan Selayar dalam bentuk Proyek Investasi IPRO (Investment Project Ready to offer) melalui  kerjasasama dengan BKPM (Badan Koordinasi Penanaman Modal) kementrian investasi.</w:t>
      </w:r>
    </w:p>
    <w:p>
      <w:pPr>
        <w:pStyle w:val="19"/>
        <w:spacing w:line="360" w:lineRule="auto"/>
        <w:ind w:left="426" w:firstLine="992"/>
        <w:jc w:val="both"/>
        <w:rPr>
          <w:rFonts w:hint="default" w:ascii="Cambria" w:hAnsi="Cambria" w:cs="Cambria"/>
          <w:bCs/>
          <w:sz w:val="24"/>
          <w:szCs w:val="24"/>
        </w:rPr>
      </w:pPr>
      <w:r>
        <w:rPr>
          <w:rFonts w:hint="default" w:ascii="Cambria" w:hAnsi="Cambria" w:cs="Cambria"/>
          <w:bCs/>
          <w:sz w:val="24"/>
          <w:szCs w:val="24"/>
        </w:rPr>
        <w:t>Adapun mekanisme dan rancangan program Pengembangan Kawasan Distribusi Logistik Indonesia Timur dan Kawasan Industri adalah :</w:t>
      </w:r>
    </w:p>
    <w:p>
      <w:pPr>
        <w:pStyle w:val="19"/>
        <w:numPr>
          <w:ilvl w:val="0"/>
          <w:numId w:val="15"/>
        </w:numPr>
        <w:spacing w:line="360" w:lineRule="auto"/>
        <w:ind w:left="851" w:hanging="425"/>
        <w:jc w:val="both"/>
        <w:rPr>
          <w:rFonts w:hint="default" w:ascii="Cambria" w:hAnsi="Cambria" w:cs="Cambria"/>
          <w:bCs/>
          <w:sz w:val="24"/>
          <w:szCs w:val="24"/>
        </w:rPr>
      </w:pPr>
      <w:r>
        <w:rPr>
          <w:rFonts w:hint="default" w:ascii="Cambria" w:hAnsi="Cambria" w:cs="Cambria"/>
          <w:bCs/>
          <w:sz w:val="24"/>
          <w:szCs w:val="24"/>
        </w:rPr>
        <w:t xml:space="preserve">Menyediakan kebijakan dan regulasi yang saling mendukung antara Kabupaten, Provinsi dan Nasional, </w:t>
      </w:r>
    </w:p>
    <w:p>
      <w:pPr>
        <w:pStyle w:val="19"/>
        <w:numPr>
          <w:ilvl w:val="0"/>
          <w:numId w:val="15"/>
        </w:numPr>
        <w:spacing w:line="360" w:lineRule="auto"/>
        <w:ind w:left="851" w:hanging="425"/>
        <w:jc w:val="both"/>
        <w:rPr>
          <w:rFonts w:hint="default" w:ascii="Cambria" w:hAnsi="Cambria" w:cs="Cambria"/>
          <w:bCs/>
          <w:sz w:val="24"/>
          <w:szCs w:val="24"/>
        </w:rPr>
      </w:pPr>
      <w:r>
        <w:rPr>
          <w:rFonts w:hint="default" w:ascii="Cambria" w:hAnsi="Cambria" w:cs="Cambria"/>
          <w:bCs/>
          <w:sz w:val="24"/>
          <w:szCs w:val="24"/>
        </w:rPr>
        <w:t xml:space="preserve">Menyediakan kawasan dengan luas lahan yang cukup untuk pengembangan sebuah bandar niaga.   </w:t>
      </w:r>
    </w:p>
    <w:p>
      <w:pPr>
        <w:pStyle w:val="19"/>
        <w:numPr>
          <w:ilvl w:val="0"/>
          <w:numId w:val="15"/>
        </w:numPr>
        <w:spacing w:line="360" w:lineRule="auto"/>
        <w:ind w:left="851" w:hanging="425"/>
        <w:jc w:val="both"/>
        <w:rPr>
          <w:rFonts w:hint="default" w:ascii="Cambria" w:hAnsi="Cambria" w:cs="Cambria"/>
          <w:bCs/>
          <w:sz w:val="24"/>
          <w:szCs w:val="24"/>
        </w:rPr>
      </w:pPr>
      <w:r>
        <w:rPr>
          <w:rFonts w:hint="default" w:ascii="Cambria" w:hAnsi="Cambria" w:cs="Cambria"/>
          <w:bCs/>
          <w:sz w:val="24"/>
          <w:szCs w:val="24"/>
        </w:rPr>
        <w:t>Membuat dan menetapkan regulasi pelaksana /pengolola pengembangan kawasan Distribusi Logistik.</w:t>
      </w:r>
    </w:p>
    <w:p>
      <w:pPr>
        <w:pStyle w:val="19"/>
        <w:numPr>
          <w:ilvl w:val="0"/>
          <w:numId w:val="15"/>
        </w:numPr>
        <w:spacing w:line="360" w:lineRule="auto"/>
        <w:ind w:left="851" w:hanging="425"/>
        <w:jc w:val="both"/>
        <w:rPr>
          <w:rFonts w:hint="default" w:ascii="Cambria" w:hAnsi="Cambria" w:cs="Cambria"/>
          <w:bCs/>
          <w:sz w:val="24"/>
          <w:szCs w:val="24"/>
        </w:rPr>
      </w:pPr>
      <w:r>
        <w:rPr>
          <w:rFonts w:hint="default" w:ascii="Cambria" w:hAnsi="Cambria" w:cs="Cambria"/>
          <w:bCs/>
          <w:sz w:val="24"/>
          <w:szCs w:val="24"/>
        </w:rPr>
        <w:t>Melakukan konsolidasi dan pemasaran investasi kepada pihak Sumber daya yang dibutuhkan dalam upaya pengembangan kawasan industri ini yaitu :</w:t>
      </w:r>
    </w:p>
    <w:p>
      <w:pPr>
        <w:pStyle w:val="19"/>
        <w:numPr>
          <w:ilvl w:val="0"/>
          <w:numId w:val="16"/>
        </w:numPr>
        <w:spacing w:line="360" w:lineRule="auto"/>
        <w:ind w:left="993" w:hanging="426"/>
        <w:jc w:val="both"/>
        <w:rPr>
          <w:rFonts w:hint="default" w:ascii="Cambria" w:hAnsi="Cambria" w:cs="Cambria"/>
          <w:bCs/>
          <w:sz w:val="24"/>
          <w:szCs w:val="24"/>
        </w:rPr>
      </w:pPr>
      <w:r>
        <w:rPr>
          <w:rFonts w:hint="default" w:ascii="Cambria" w:hAnsi="Cambria" w:cs="Cambria"/>
          <w:bCs/>
          <w:sz w:val="24"/>
          <w:szCs w:val="24"/>
        </w:rPr>
        <w:t>Penetapan tempat dan luas kawasan Distribusi Logistik.</w:t>
      </w:r>
    </w:p>
    <w:p>
      <w:pPr>
        <w:pStyle w:val="19"/>
        <w:numPr>
          <w:ilvl w:val="0"/>
          <w:numId w:val="16"/>
        </w:numPr>
        <w:spacing w:line="360" w:lineRule="auto"/>
        <w:ind w:left="993" w:hanging="426"/>
        <w:jc w:val="both"/>
        <w:rPr>
          <w:rFonts w:hint="default" w:ascii="Cambria" w:hAnsi="Cambria" w:cs="Cambria"/>
          <w:bCs/>
          <w:sz w:val="24"/>
          <w:szCs w:val="24"/>
        </w:rPr>
      </w:pPr>
      <w:r>
        <w:rPr>
          <w:rFonts w:hint="default" w:ascii="Cambria" w:hAnsi="Cambria" w:cs="Cambria"/>
          <w:bCs/>
          <w:sz w:val="24"/>
          <w:szCs w:val="24"/>
        </w:rPr>
        <w:t>Konsolidasi dan Sikronisasi Kawasan Strategis Provinsi dan Kawasasn Strategis Nasional</w:t>
      </w:r>
    </w:p>
    <w:p>
      <w:pPr>
        <w:pStyle w:val="19"/>
        <w:numPr>
          <w:ilvl w:val="0"/>
          <w:numId w:val="16"/>
        </w:numPr>
        <w:spacing w:line="360" w:lineRule="auto"/>
        <w:ind w:left="993" w:hanging="426"/>
        <w:jc w:val="both"/>
        <w:rPr>
          <w:rFonts w:hint="default" w:ascii="Cambria" w:hAnsi="Cambria" w:cs="Cambria"/>
          <w:bCs/>
          <w:sz w:val="24"/>
          <w:szCs w:val="24"/>
        </w:rPr>
      </w:pPr>
      <w:r>
        <w:rPr>
          <w:rFonts w:hint="default" w:ascii="Cambria" w:hAnsi="Cambria" w:cs="Cambria"/>
          <w:bCs/>
          <w:sz w:val="24"/>
          <w:szCs w:val="24"/>
        </w:rPr>
        <w:t>Sosialisasi dan permintaan kesediaan dukungan masyarakat kepada Pengembangan Kawasan Distribusi Logistik.</w:t>
      </w:r>
    </w:p>
    <w:p>
      <w:pPr>
        <w:pStyle w:val="19"/>
        <w:numPr>
          <w:ilvl w:val="0"/>
          <w:numId w:val="16"/>
        </w:numPr>
        <w:spacing w:line="360" w:lineRule="auto"/>
        <w:ind w:left="993" w:hanging="426"/>
        <w:jc w:val="both"/>
        <w:rPr>
          <w:rFonts w:hint="default" w:ascii="Cambria" w:hAnsi="Cambria" w:cs="Cambria"/>
          <w:bCs/>
          <w:sz w:val="24"/>
          <w:szCs w:val="24"/>
        </w:rPr>
      </w:pPr>
      <w:r>
        <w:rPr>
          <w:rFonts w:hint="default" w:ascii="Cambria" w:hAnsi="Cambria" w:cs="Cambria"/>
          <w:bCs/>
          <w:sz w:val="24"/>
          <w:szCs w:val="24"/>
        </w:rPr>
        <w:t>Pemetaan dan Pengukuran Kawasan Distribusi Logistik.</w:t>
      </w:r>
    </w:p>
    <w:p>
      <w:pPr>
        <w:pStyle w:val="19"/>
        <w:numPr>
          <w:ilvl w:val="0"/>
          <w:numId w:val="16"/>
        </w:numPr>
        <w:spacing w:line="360" w:lineRule="auto"/>
        <w:ind w:left="851" w:hanging="284"/>
        <w:jc w:val="both"/>
        <w:rPr>
          <w:rFonts w:hint="default" w:ascii="Cambria" w:hAnsi="Cambria" w:cs="Cambria"/>
          <w:bCs/>
          <w:sz w:val="24"/>
          <w:szCs w:val="24"/>
        </w:rPr>
      </w:pPr>
      <w:r>
        <w:rPr>
          <w:rFonts w:hint="default" w:ascii="Cambria" w:hAnsi="Cambria" w:cs="Cambria"/>
          <w:bCs/>
          <w:sz w:val="24"/>
          <w:szCs w:val="24"/>
        </w:rPr>
        <w:t xml:space="preserve">  Penyusunan master plan, Study Kelayakan, DED dan Kajian yang berhubungan dengan pengembangan kawasan.</w:t>
      </w:r>
    </w:p>
    <w:p>
      <w:pPr>
        <w:pStyle w:val="19"/>
        <w:tabs>
          <w:tab w:val="left" w:pos="1701"/>
        </w:tabs>
        <w:spacing w:line="360" w:lineRule="auto"/>
        <w:ind w:left="426" w:firstLine="992"/>
        <w:jc w:val="both"/>
        <w:rPr>
          <w:rFonts w:hint="default" w:ascii="Cambria" w:hAnsi="Cambria" w:cs="Cambria"/>
          <w:bCs/>
          <w:sz w:val="24"/>
          <w:szCs w:val="24"/>
        </w:rPr>
      </w:pPr>
      <w:r>
        <w:rPr>
          <w:rFonts w:hint="default" w:ascii="Cambria" w:hAnsi="Cambria" w:cs="Cambria"/>
          <w:bCs/>
          <w:sz w:val="24"/>
          <w:szCs w:val="24"/>
        </w:rPr>
        <w:t>Untuk mendukung kegiatan tersebut, telah disusun jadwal kegiatan dalam rangka pengembangan kawasan sebagai penyedia infrastruktur dasar sebuah bandar niaga, seperti Kawasan konsolidasi, Sarana pelabuhan, Sarana jalan, Air Bersih, Telekomunikasi, Sentra jasa pertokoan dan Pergudangan, Sentra industri kecil, Menengah dan Besar, Sentra Perkantoran dan Kawasan penunujang pengembangan kawasan lainnya, sebagai berikut :</w:t>
      </w:r>
    </w:p>
    <w:p>
      <w:pPr>
        <w:pStyle w:val="19"/>
        <w:numPr>
          <w:ilvl w:val="0"/>
          <w:numId w:val="17"/>
        </w:numPr>
        <w:spacing w:line="360" w:lineRule="auto"/>
        <w:ind w:hanging="579"/>
        <w:jc w:val="both"/>
        <w:rPr>
          <w:rFonts w:hint="default" w:ascii="Cambria" w:hAnsi="Cambria" w:cs="Cambria"/>
          <w:bCs/>
          <w:sz w:val="24"/>
          <w:szCs w:val="24"/>
        </w:rPr>
      </w:pPr>
      <w:r>
        <w:rPr>
          <w:rFonts w:hint="default" w:ascii="Cambria" w:hAnsi="Cambria" w:cs="Cambria"/>
          <w:bCs/>
          <w:sz w:val="24"/>
          <w:szCs w:val="24"/>
        </w:rPr>
        <w:t>Penetapan tempat dan luas kawasan Distribusi Logistik</w:t>
      </w:r>
    </w:p>
    <w:p>
      <w:pPr>
        <w:pStyle w:val="19"/>
        <w:numPr>
          <w:ilvl w:val="0"/>
          <w:numId w:val="17"/>
        </w:numPr>
        <w:spacing w:line="360" w:lineRule="auto"/>
        <w:ind w:hanging="579"/>
        <w:jc w:val="both"/>
        <w:rPr>
          <w:rFonts w:hint="default" w:ascii="Cambria" w:hAnsi="Cambria" w:cs="Cambria"/>
          <w:bCs/>
          <w:sz w:val="24"/>
          <w:szCs w:val="24"/>
        </w:rPr>
      </w:pPr>
      <w:r>
        <w:rPr>
          <w:rFonts w:hint="default" w:ascii="Cambria" w:hAnsi="Cambria" w:cs="Cambria"/>
          <w:bCs/>
          <w:sz w:val="24"/>
          <w:szCs w:val="24"/>
        </w:rPr>
        <w:t>Konsolidasi dan Sikronisasi Kawasan Strategis Provinsi dan Kawasasn Strategis Nasional</w:t>
      </w:r>
    </w:p>
    <w:p>
      <w:pPr>
        <w:pStyle w:val="19"/>
        <w:numPr>
          <w:ilvl w:val="0"/>
          <w:numId w:val="17"/>
        </w:numPr>
        <w:spacing w:line="360" w:lineRule="auto"/>
        <w:ind w:hanging="579"/>
        <w:jc w:val="both"/>
        <w:rPr>
          <w:rFonts w:hint="default" w:ascii="Cambria" w:hAnsi="Cambria" w:cs="Cambria"/>
          <w:bCs/>
          <w:sz w:val="24"/>
          <w:szCs w:val="24"/>
        </w:rPr>
      </w:pPr>
      <w:r>
        <w:rPr>
          <w:rFonts w:hint="default" w:ascii="Cambria" w:hAnsi="Cambria" w:cs="Cambria"/>
          <w:bCs/>
          <w:sz w:val="24"/>
          <w:szCs w:val="24"/>
        </w:rPr>
        <w:t>Sosialisasi dan permintaan kesediaan dukungan masyarakat kepada  Pengembangan Kawasan Distribusi Logistik</w:t>
      </w:r>
    </w:p>
    <w:p>
      <w:pPr>
        <w:pStyle w:val="19"/>
        <w:numPr>
          <w:ilvl w:val="0"/>
          <w:numId w:val="17"/>
        </w:numPr>
        <w:spacing w:line="360" w:lineRule="auto"/>
        <w:ind w:hanging="579"/>
        <w:jc w:val="both"/>
        <w:rPr>
          <w:rFonts w:hint="default" w:ascii="Cambria" w:hAnsi="Cambria" w:cs="Cambria"/>
          <w:bCs/>
          <w:sz w:val="24"/>
          <w:szCs w:val="24"/>
        </w:rPr>
      </w:pPr>
      <w:r>
        <w:rPr>
          <w:rFonts w:hint="default" w:ascii="Cambria" w:hAnsi="Cambria" w:cs="Cambria"/>
          <w:bCs/>
          <w:sz w:val="24"/>
          <w:szCs w:val="24"/>
        </w:rPr>
        <w:t>Pengukuran Lahan Kawasan Distribusi Logistik</w:t>
      </w:r>
    </w:p>
    <w:p>
      <w:pPr>
        <w:pStyle w:val="19"/>
        <w:numPr>
          <w:ilvl w:val="0"/>
          <w:numId w:val="17"/>
        </w:numPr>
        <w:spacing w:line="360" w:lineRule="auto"/>
        <w:ind w:hanging="579"/>
        <w:jc w:val="both"/>
        <w:rPr>
          <w:rFonts w:hint="default" w:ascii="Cambria" w:hAnsi="Cambria" w:cs="Cambria"/>
          <w:bCs/>
          <w:sz w:val="24"/>
          <w:szCs w:val="24"/>
        </w:rPr>
      </w:pPr>
      <w:r>
        <w:rPr>
          <w:rFonts w:hint="default" w:ascii="Cambria" w:hAnsi="Cambria" w:cs="Cambria"/>
          <w:bCs/>
          <w:sz w:val="24"/>
          <w:szCs w:val="24"/>
        </w:rPr>
        <w:t>Penyusunan master plan, Study Kelayakan, DED dan Kajian yang berhubungan dengan Pengembangan Kawasan</w:t>
      </w:r>
    </w:p>
    <w:p>
      <w:pPr>
        <w:pStyle w:val="13"/>
        <w:tabs>
          <w:tab w:val="left" w:pos="1701"/>
        </w:tabs>
        <w:spacing w:after="0" w:line="360" w:lineRule="auto"/>
        <w:ind w:left="426" w:firstLine="992"/>
        <w:jc w:val="both"/>
        <w:rPr>
          <w:rFonts w:hint="default" w:ascii="Cambria" w:hAnsi="Cambria" w:cs="Cambria"/>
          <w:bCs/>
          <w:sz w:val="24"/>
          <w:szCs w:val="24"/>
        </w:rPr>
      </w:pPr>
      <w:r>
        <w:rPr>
          <w:rFonts w:hint="default" w:ascii="Cambria" w:hAnsi="Cambria" w:cs="Cambria"/>
          <w:bCs/>
          <w:sz w:val="24"/>
          <w:szCs w:val="24"/>
        </w:rPr>
        <w:t>Dalam pencapaian target disektor perindutrian terdapat beberapa kendala khususnya terkait program pengembangan kawasan distribusi logistic Indonesia timur yaitu antara lain sebagai berikut :</w:t>
      </w:r>
    </w:p>
    <w:p>
      <w:pPr>
        <w:pStyle w:val="19"/>
        <w:numPr>
          <w:ilvl w:val="0"/>
          <w:numId w:val="18"/>
        </w:numPr>
        <w:tabs>
          <w:tab w:val="left" w:pos="1276"/>
          <w:tab w:val="left" w:pos="1701"/>
        </w:tabs>
        <w:spacing w:line="360" w:lineRule="auto"/>
        <w:ind w:left="1306" w:hanging="880"/>
        <w:jc w:val="both"/>
        <w:rPr>
          <w:rFonts w:hint="default" w:ascii="Cambria" w:hAnsi="Cambria" w:cs="Cambria"/>
          <w:bCs/>
          <w:sz w:val="24"/>
          <w:szCs w:val="24"/>
        </w:rPr>
      </w:pPr>
      <w:r>
        <w:rPr>
          <w:rFonts w:hint="default" w:ascii="Cambria" w:hAnsi="Cambria" w:cs="Cambria"/>
          <w:bCs/>
          <w:sz w:val="24"/>
          <w:szCs w:val="24"/>
        </w:rPr>
        <w:t xml:space="preserve">Penetapan kawasan, luas lahan dan legalitas penggunaan lahan dalam kawasan  </w:t>
      </w:r>
    </w:p>
    <w:p>
      <w:pPr>
        <w:pStyle w:val="19"/>
        <w:numPr>
          <w:ilvl w:val="0"/>
          <w:numId w:val="18"/>
        </w:numPr>
        <w:tabs>
          <w:tab w:val="left" w:pos="1276"/>
          <w:tab w:val="left" w:pos="1701"/>
        </w:tabs>
        <w:spacing w:line="360" w:lineRule="auto"/>
        <w:ind w:left="1306" w:hanging="880"/>
        <w:jc w:val="both"/>
        <w:rPr>
          <w:rFonts w:hint="default" w:ascii="Cambria" w:hAnsi="Cambria" w:cs="Cambria"/>
          <w:bCs/>
          <w:sz w:val="24"/>
          <w:szCs w:val="24"/>
        </w:rPr>
      </w:pPr>
      <w:r>
        <w:rPr>
          <w:rFonts w:hint="default" w:ascii="Cambria" w:hAnsi="Cambria" w:cs="Cambria"/>
          <w:bCs/>
          <w:sz w:val="24"/>
          <w:szCs w:val="24"/>
        </w:rPr>
        <w:t>Sinkronisasi regulasi dan Kebijakan pengembangan kawasan dari  Kabupaten, Provinsi dan Nasional</w:t>
      </w:r>
    </w:p>
    <w:p>
      <w:pPr>
        <w:pStyle w:val="19"/>
        <w:numPr>
          <w:ilvl w:val="0"/>
          <w:numId w:val="18"/>
        </w:numPr>
        <w:tabs>
          <w:tab w:val="left" w:pos="1276"/>
          <w:tab w:val="left" w:pos="1701"/>
        </w:tabs>
        <w:spacing w:line="360" w:lineRule="auto"/>
        <w:jc w:val="both"/>
        <w:rPr>
          <w:rFonts w:hint="default" w:ascii="Cambria" w:hAnsi="Cambria" w:cs="Cambria"/>
          <w:bCs/>
          <w:sz w:val="24"/>
          <w:szCs w:val="24"/>
        </w:rPr>
      </w:pPr>
      <w:r>
        <w:rPr>
          <w:rFonts w:hint="default" w:ascii="Cambria" w:hAnsi="Cambria" w:cs="Cambria"/>
          <w:bCs/>
          <w:sz w:val="24"/>
          <w:szCs w:val="24"/>
        </w:rPr>
        <w:t>Pembangunan Infrastruktur Dasar</w:t>
      </w:r>
    </w:p>
    <w:p>
      <w:pPr>
        <w:pStyle w:val="19"/>
        <w:numPr>
          <w:ilvl w:val="0"/>
          <w:numId w:val="18"/>
        </w:numPr>
        <w:tabs>
          <w:tab w:val="left" w:pos="1276"/>
          <w:tab w:val="left" w:pos="1701"/>
        </w:tabs>
        <w:spacing w:line="360" w:lineRule="auto"/>
        <w:ind w:left="1306" w:hanging="880"/>
        <w:jc w:val="both"/>
        <w:rPr>
          <w:rFonts w:hint="default" w:ascii="Cambria" w:hAnsi="Cambria" w:cs="Cambria"/>
          <w:bCs/>
          <w:sz w:val="24"/>
          <w:szCs w:val="24"/>
        </w:rPr>
      </w:pPr>
      <w:r>
        <w:rPr>
          <w:rFonts w:hint="default" w:ascii="Cambria" w:hAnsi="Cambria" w:cs="Cambria"/>
          <w:bCs/>
          <w:sz w:val="24"/>
          <w:szCs w:val="24"/>
        </w:rPr>
        <w:t>Banyaknya kegiatan yang ditunda pelaksanaannya karena adanya relokasi anggaran yang diarahkan kepada penanganan covid-19, dampak bencana alam dan inflasi daerah.</w:t>
      </w:r>
    </w:p>
    <w:p>
      <w:pPr>
        <w:pStyle w:val="19"/>
        <w:numPr>
          <w:ilvl w:val="0"/>
          <w:numId w:val="18"/>
        </w:numPr>
        <w:tabs>
          <w:tab w:val="left" w:pos="1276"/>
          <w:tab w:val="left" w:pos="1701"/>
        </w:tabs>
        <w:spacing w:line="360" w:lineRule="auto"/>
        <w:ind w:left="1306" w:hanging="880"/>
        <w:jc w:val="both"/>
        <w:rPr>
          <w:rFonts w:hint="default" w:ascii="Cambria" w:hAnsi="Cambria" w:cs="Cambria"/>
          <w:bCs/>
          <w:sz w:val="24"/>
          <w:szCs w:val="24"/>
        </w:rPr>
      </w:pPr>
      <w:r>
        <w:rPr>
          <w:rFonts w:hint="default" w:ascii="Cambria" w:hAnsi="Cambria" w:cs="Cambria"/>
          <w:bCs/>
          <w:sz w:val="24"/>
          <w:szCs w:val="24"/>
        </w:rPr>
        <w:t>Belum maksimalnya pendataan perkembangan IKM sehingga masih belum maksimal disajikan secara real dan akurat, disebabkan karena perlunya pengembangan kemampuan bagi para pendata dan pelaku IKM dalam bentuk pelatihan.</w:t>
      </w:r>
    </w:p>
    <w:p>
      <w:pPr>
        <w:pStyle w:val="19"/>
        <w:numPr>
          <w:ilvl w:val="0"/>
          <w:numId w:val="18"/>
        </w:numPr>
        <w:tabs>
          <w:tab w:val="left" w:pos="1276"/>
          <w:tab w:val="left" w:pos="1701"/>
        </w:tabs>
        <w:spacing w:line="360" w:lineRule="auto"/>
        <w:ind w:left="1306" w:hanging="880"/>
        <w:jc w:val="both"/>
        <w:rPr>
          <w:rFonts w:hint="default" w:ascii="Cambria" w:hAnsi="Cambria" w:cs="Cambria"/>
          <w:bCs/>
          <w:sz w:val="24"/>
          <w:szCs w:val="24"/>
        </w:rPr>
      </w:pPr>
      <w:r>
        <w:rPr>
          <w:rFonts w:hint="default" w:ascii="Cambria" w:hAnsi="Cambria" w:cs="Cambria"/>
          <w:bCs/>
          <w:sz w:val="24"/>
          <w:szCs w:val="24"/>
        </w:rPr>
        <w:t>Belum berfungsinya SIINAS sebagai instrumen pengumpulan data yang dapat menyajikan data secara real time dan valid.</w:t>
      </w:r>
    </w:p>
    <w:p>
      <w:pPr>
        <w:pStyle w:val="19"/>
        <w:numPr>
          <w:ilvl w:val="0"/>
          <w:numId w:val="18"/>
        </w:numPr>
        <w:tabs>
          <w:tab w:val="left" w:pos="1276"/>
          <w:tab w:val="left" w:pos="1701"/>
        </w:tabs>
        <w:spacing w:line="360" w:lineRule="auto"/>
        <w:ind w:left="1306" w:hanging="880"/>
        <w:jc w:val="both"/>
        <w:rPr>
          <w:rFonts w:hint="default" w:ascii="Cambria" w:hAnsi="Cambria" w:cs="Cambria"/>
          <w:bCs/>
          <w:sz w:val="24"/>
          <w:szCs w:val="24"/>
        </w:rPr>
      </w:pPr>
      <w:r>
        <w:rPr>
          <w:rFonts w:hint="default" w:ascii="Cambria" w:hAnsi="Cambria" w:cs="Cambria"/>
          <w:bCs/>
          <w:sz w:val="24"/>
          <w:szCs w:val="24"/>
        </w:rPr>
        <w:t>Sifat apatisme masyarakat yang tidak didukung oleh sosialisasi yang cukup oleh Pemerintah Daerah sehingga masyarakat menganggap program gerbang sari sebagai suatu hal yang tidak penting.</w:t>
      </w:r>
    </w:p>
    <w:p>
      <w:pPr>
        <w:pStyle w:val="19"/>
        <w:numPr>
          <w:ilvl w:val="0"/>
          <w:numId w:val="18"/>
        </w:numPr>
        <w:tabs>
          <w:tab w:val="left" w:pos="1276"/>
          <w:tab w:val="left" w:pos="1701"/>
        </w:tabs>
        <w:spacing w:line="360" w:lineRule="auto"/>
        <w:ind w:left="1306" w:hanging="880"/>
        <w:jc w:val="both"/>
        <w:rPr>
          <w:rFonts w:hint="default" w:ascii="Cambria" w:hAnsi="Cambria" w:cs="Cambria"/>
          <w:bCs/>
          <w:sz w:val="24"/>
          <w:szCs w:val="24"/>
        </w:rPr>
      </w:pPr>
      <w:r>
        <w:rPr>
          <w:rFonts w:hint="default" w:ascii="Cambria" w:hAnsi="Cambria" w:cs="Cambria"/>
          <w:bCs/>
          <w:sz w:val="24"/>
          <w:szCs w:val="24"/>
        </w:rPr>
        <w:t>Volume arus barang keluar masuk Kabupaten Kepulauan Selayar masih sedikit sehingga belum efektif dan efisien untuk dilakukan pengiriman barang melalui kontainer.</w:t>
      </w:r>
    </w:p>
    <w:p>
      <w:pPr>
        <w:pStyle w:val="19"/>
        <w:spacing w:line="360" w:lineRule="auto"/>
        <w:ind w:left="426" w:firstLine="992"/>
        <w:jc w:val="both"/>
        <w:rPr>
          <w:rFonts w:hint="default" w:ascii="Cambria" w:hAnsi="Cambria" w:cs="Cambria"/>
          <w:bCs/>
          <w:sz w:val="24"/>
          <w:szCs w:val="24"/>
        </w:rPr>
      </w:pPr>
      <w:r>
        <w:rPr>
          <w:rFonts w:hint="default" w:ascii="Cambria" w:hAnsi="Cambria" w:cs="Cambria"/>
          <w:bCs/>
          <w:sz w:val="24"/>
          <w:szCs w:val="24"/>
        </w:rPr>
        <w:t>Langkah-langkah kedepan yang harus dilakukan oleh Dinas Perindustrian, Perdagangan, Koperasi dan UKM dalam memperbaiki kinerja dan menghadapi tantangan kedepan, antara lain :</w:t>
      </w:r>
    </w:p>
    <w:p>
      <w:pPr>
        <w:pStyle w:val="13"/>
        <w:numPr>
          <w:ilvl w:val="0"/>
          <w:numId w:val="19"/>
        </w:numPr>
        <w:tabs>
          <w:tab w:val="left" w:pos="993"/>
        </w:tabs>
        <w:autoSpaceDE w:val="0"/>
        <w:autoSpaceDN w:val="0"/>
        <w:adjustRightInd w:val="0"/>
        <w:spacing w:after="0" w:line="360" w:lineRule="auto"/>
        <w:ind w:left="851" w:hanging="425"/>
        <w:jc w:val="both"/>
        <w:rPr>
          <w:rFonts w:hint="default" w:ascii="Cambria" w:hAnsi="Cambria" w:cs="Cambria"/>
          <w:bCs/>
          <w:sz w:val="24"/>
          <w:szCs w:val="24"/>
        </w:rPr>
      </w:pPr>
      <w:r>
        <w:rPr>
          <w:rFonts w:hint="default" w:ascii="Cambria" w:hAnsi="Cambria" w:cs="Cambria"/>
          <w:bCs/>
          <w:sz w:val="24"/>
          <w:szCs w:val="24"/>
        </w:rPr>
        <w:t>Menyiapkan dana darurat yang memadai</w:t>
      </w:r>
    </w:p>
    <w:p>
      <w:pPr>
        <w:pStyle w:val="13"/>
        <w:numPr>
          <w:ilvl w:val="0"/>
          <w:numId w:val="19"/>
        </w:numPr>
        <w:tabs>
          <w:tab w:val="left" w:pos="993"/>
        </w:tabs>
        <w:autoSpaceDE w:val="0"/>
        <w:autoSpaceDN w:val="0"/>
        <w:adjustRightInd w:val="0"/>
        <w:spacing w:after="0" w:line="360" w:lineRule="auto"/>
        <w:ind w:left="851" w:hanging="425"/>
        <w:jc w:val="both"/>
        <w:rPr>
          <w:rFonts w:hint="default" w:ascii="Cambria" w:hAnsi="Cambria" w:cs="Cambria"/>
          <w:bCs/>
          <w:sz w:val="24"/>
          <w:szCs w:val="24"/>
        </w:rPr>
      </w:pPr>
      <w:r>
        <w:rPr>
          <w:rFonts w:hint="default" w:ascii="Cambria" w:hAnsi="Cambria" w:cs="Cambria"/>
          <w:bCs/>
          <w:sz w:val="24"/>
          <w:szCs w:val="24"/>
        </w:rPr>
        <w:t>Melakukan langkah-langkah penganggaran yang tepat</w:t>
      </w:r>
    </w:p>
    <w:p>
      <w:pPr>
        <w:pStyle w:val="13"/>
        <w:numPr>
          <w:ilvl w:val="0"/>
          <w:numId w:val="19"/>
        </w:numPr>
        <w:tabs>
          <w:tab w:val="left" w:pos="993"/>
        </w:tabs>
        <w:autoSpaceDE w:val="0"/>
        <w:autoSpaceDN w:val="0"/>
        <w:adjustRightInd w:val="0"/>
        <w:spacing w:after="0" w:line="360" w:lineRule="auto"/>
        <w:ind w:left="851" w:hanging="425"/>
        <w:jc w:val="both"/>
        <w:rPr>
          <w:rFonts w:hint="default" w:ascii="Cambria" w:hAnsi="Cambria" w:cs="Cambria"/>
          <w:bCs/>
          <w:sz w:val="24"/>
          <w:szCs w:val="24"/>
        </w:rPr>
      </w:pPr>
      <w:r>
        <w:rPr>
          <w:rFonts w:hint="default" w:ascii="Cambria" w:hAnsi="Cambria" w:cs="Cambria"/>
          <w:bCs/>
          <w:sz w:val="24"/>
          <w:szCs w:val="24"/>
        </w:rPr>
        <w:t>Melakukan pemutakhiran data perkembangan sektor industri melalui pendekatan penggunaan teknologi informasi sehingga dapat menyajikan data secara real time dan valid sesuai dengan kebutuhan informasi data.</w:t>
      </w:r>
    </w:p>
    <w:p>
      <w:pPr>
        <w:pStyle w:val="13"/>
        <w:numPr>
          <w:ilvl w:val="0"/>
          <w:numId w:val="19"/>
        </w:numPr>
        <w:tabs>
          <w:tab w:val="left" w:pos="993"/>
        </w:tabs>
        <w:autoSpaceDE w:val="0"/>
        <w:autoSpaceDN w:val="0"/>
        <w:adjustRightInd w:val="0"/>
        <w:spacing w:after="0" w:line="360" w:lineRule="auto"/>
        <w:ind w:left="851" w:hanging="425"/>
        <w:jc w:val="both"/>
        <w:rPr>
          <w:rFonts w:hint="default" w:ascii="Cambria" w:hAnsi="Cambria" w:cs="Cambria"/>
          <w:bCs/>
          <w:sz w:val="24"/>
          <w:szCs w:val="24"/>
        </w:rPr>
      </w:pPr>
      <w:r>
        <w:rPr>
          <w:rFonts w:hint="default" w:ascii="Cambria" w:hAnsi="Cambria" w:cs="Cambria"/>
          <w:bCs/>
          <w:sz w:val="24"/>
          <w:szCs w:val="24"/>
        </w:rPr>
        <w:t>Melatih petugas pendataan industri yang disiapkan untuk kabupaten/kota serta memaksimalkan fungsi penyuluh industri dalam melakukan pendampingan kepada sentra-sentra yang vacum atau berhenti untuk difasilitasi jalan keluar dari kelangsungan produksi dan usaha IKM baik dalam bentuk modal maupun peralatan.</w:t>
      </w:r>
    </w:p>
    <w:p>
      <w:pPr>
        <w:pStyle w:val="13"/>
        <w:numPr>
          <w:ilvl w:val="0"/>
          <w:numId w:val="19"/>
        </w:numPr>
        <w:tabs>
          <w:tab w:val="left" w:pos="993"/>
        </w:tabs>
        <w:autoSpaceDE w:val="0"/>
        <w:autoSpaceDN w:val="0"/>
        <w:adjustRightInd w:val="0"/>
        <w:spacing w:after="0" w:line="360" w:lineRule="auto"/>
        <w:ind w:left="851" w:hanging="425"/>
        <w:jc w:val="both"/>
        <w:rPr>
          <w:rFonts w:hint="default" w:ascii="Cambria" w:hAnsi="Cambria" w:cs="Cambria"/>
          <w:bCs/>
          <w:sz w:val="24"/>
          <w:szCs w:val="24"/>
        </w:rPr>
      </w:pPr>
      <w:r>
        <w:rPr>
          <w:rFonts w:hint="default" w:ascii="Cambria" w:hAnsi="Cambria" w:cs="Cambria"/>
          <w:bCs/>
          <w:sz w:val="24"/>
          <w:szCs w:val="24"/>
        </w:rPr>
        <w:t xml:space="preserve">Melakukan sosialisasi yang cukup oleh Pemerintah Daerah </w:t>
      </w:r>
    </w:p>
    <w:p>
      <w:pPr>
        <w:pStyle w:val="13"/>
        <w:numPr>
          <w:ilvl w:val="0"/>
          <w:numId w:val="19"/>
        </w:numPr>
        <w:tabs>
          <w:tab w:val="left" w:pos="993"/>
        </w:tabs>
        <w:autoSpaceDE w:val="0"/>
        <w:autoSpaceDN w:val="0"/>
        <w:adjustRightInd w:val="0"/>
        <w:spacing w:after="0" w:line="360" w:lineRule="auto"/>
        <w:ind w:left="851" w:hanging="425"/>
        <w:jc w:val="both"/>
        <w:rPr>
          <w:rFonts w:hint="default" w:ascii="Cambria" w:hAnsi="Cambria" w:cs="Cambria"/>
          <w:bCs/>
          <w:sz w:val="24"/>
          <w:szCs w:val="24"/>
        </w:rPr>
      </w:pPr>
      <w:r>
        <w:rPr>
          <w:rFonts w:hint="default" w:ascii="Cambria" w:hAnsi="Cambria" w:cs="Cambria"/>
          <w:bCs/>
          <w:sz w:val="24"/>
          <w:szCs w:val="24"/>
        </w:rPr>
        <w:t>Meningkatkan produksi pertanian,agro industri dan perikanan.</w:t>
      </w:r>
    </w:p>
    <w:p>
      <w:pPr>
        <w:pStyle w:val="13"/>
        <w:tabs>
          <w:tab w:val="left" w:pos="993"/>
        </w:tabs>
        <w:autoSpaceDE w:val="0"/>
        <w:autoSpaceDN w:val="0"/>
        <w:adjustRightInd w:val="0"/>
        <w:spacing w:after="0" w:line="360" w:lineRule="auto"/>
        <w:ind w:left="851"/>
        <w:jc w:val="both"/>
        <w:rPr>
          <w:rFonts w:hint="default" w:ascii="Cambria" w:hAnsi="Cambria" w:cs="Cambria"/>
          <w:bCs/>
          <w:sz w:val="24"/>
          <w:szCs w:val="24"/>
        </w:rPr>
      </w:pPr>
    </w:p>
    <w:p>
      <w:pPr>
        <w:shd w:val="clear" w:color="auto" w:fill="FFFFFF" w:themeFill="background1"/>
        <w:spacing w:after="0" w:line="360" w:lineRule="auto"/>
        <w:ind w:left="426"/>
        <w:jc w:val="both"/>
        <w:rPr>
          <w:rFonts w:hint="default" w:ascii="Cambria" w:hAnsi="Cambria" w:cs="Cambria"/>
          <w:b/>
          <w:sz w:val="24"/>
          <w:szCs w:val="24"/>
        </w:rPr>
      </w:pPr>
      <w:r>
        <w:rPr>
          <w:rFonts w:hint="default" w:ascii="Cambria" w:hAnsi="Cambria" w:cs="Cambria"/>
          <w:b/>
          <w:sz w:val="24"/>
          <w:szCs w:val="24"/>
        </w:rPr>
        <w:t>D.2. BIDANG PERDAGANGAN</w:t>
      </w:r>
    </w:p>
    <w:p>
      <w:pPr>
        <w:shd w:val="clear" w:color="auto" w:fill="FFFFFF" w:themeFill="background1"/>
        <w:spacing w:after="0" w:line="360" w:lineRule="auto"/>
        <w:ind w:left="993"/>
        <w:jc w:val="both"/>
        <w:rPr>
          <w:rFonts w:hint="default" w:ascii="Cambria" w:hAnsi="Cambria" w:cs="Cambria"/>
          <w:sz w:val="24"/>
          <w:szCs w:val="24"/>
        </w:rPr>
      </w:pPr>
      <w:r>
        <w:rPr>
          <w:rFonts w:hint="default" w:ascii="Cambria" w:hAnsi="Cambria" w:cs="Cambria"/>
          <w:sz w:val="24"/>
          <w:szCs w:val="24"/>
        </w:rPr>
        <w:t>Isu-isu strategis bidang urusan perdagangan adalah sebagai berikut :</w:t>
      </w:r>
    </w:p>
    <w:p>
      <w:pPr>
        <w:pStyle w:val="13"/>
        <w:numPr>
          <w:ilvl w:val="0"/>
          <w:numId w:val="20"/>
        </w:numPr>
        <w:shd w:val="clear" w:color="auto" w:fill="FFFFFF" w:themeFill="background1"/>
        <w:spacing w:after="0" w:line="360" w:lineRule="auto"/>
        <w:ind w:left="1418" w:hanging="425"/>
        <w:jc w:val="both"/>
        <w:rPr>
          <w:rFonts w:hint="default" w:ascii="Cambria" w:hAnsi="Cambria" w:cs="Cambria"/>
          <w:sz w:val="24"/>
          <w:szCs w:val="24"/>
        </w:rPr>
      </w:pPr>
      <w:r>
        <w:rPr>
          <w:rFonts w:hint="default" w:ascii="Cambria" w:hAnsi="Cambria" w:cs="Cambria"/>
          <w:bCs/>
          <w:sz w:val="24"/>
          <w:szCs w:val="24"/>
          <w:lang w:val="id-ID"/>
        </w:rPr>
        <w:t>Belum optimalnya sistem distribusi barang kebutuhan pokok dan kebutuhan lainnya disebabkan karena sampai saat ini belum ada sarana dan prasarana transportasi yang khusus mengangkut logistik dan komoditi hasil pertanian dan perikanan</w:t>
      </w:r>
    </w:p>
    <w:p>
      <w:pPr>
        <w:pStyle w:val="13"/>
        <w:numPr>
          <w:ilvl w:val="0"/>
          <w:numId w:val="20"/>
        </w:numPr>
        <w:shd w:val="clear" w:color="auto" w:fill="FFFFFF" w:themeFill="background1"/>
        <w:tabs>
          <w:tab w:val="left" w:pos="993"/>
        </w:tabs>
        <w:spacing w:after="0" w:line="360" w:lineRule="auto"/>
        <w:ind w:left="1418" w:hanging="425"/>
        <w:jc w:val="both"/>
        <w:rPr>
          <w:rFonts w:hint="default" w:ascii="Cambria" w:hAnsi="Cambria" w:cs="Cambria"/>
          <w:sz w:val="24"/>
          <w:szCs w:val="24"/>
        </w:rPr>
      </w:pPr>
      <w:r>
        <w:rPr>
          <w:rFonts w:hint="default" w:ascii="Cambria" w:hAnsi="Cambria" w:cs="Cambria"/>
          <w:bCs/>
          <w:sz w:val="24"/>
          <w:szCs w:val="24"/>
          <w:lang w:val="id-ID"/>
        </w:rPr>
        <w:t xml:space="preserve">Belum adanya hasil komoditi asal Selayar yang berkategori ekspor yang dikirim ke Makassar ataupun ke Surabaya disebabkan belum adanya pejabat yang berwewenang mengeluarkan Surat Keterangan Asal (SKA) atau Certificate of Origin (COO) barang, yang merupakan persyaratan untuk dapat memasuki wilayah negara tujuan, dan SKA juga merupakan persyaratan dalam memperoleh preferensi yang disertakan pada barang ekspor untuk memperoleh fasilitas berupa pembebasan seluruh atau sebagian bea masuk yang diberikan oleh negara tujuan. SKA diterbitkan oleh Menteri Perdagangan atau pejabat yang berwenang dan bertanggung jawab untuk mengeluarkan SKA atas barang Ekspor </w:t>
      </w:r>
      <w:r>
        <w:rPr>
          <w:rFonts w:hint="default" w:ascii="Cambria" w:hAnsi="Cambria" w:cs="Cambria"/>
          <w:bCs/>
          <w:sz w:val="24"/>
          <w:szCs w:val="24"/>
        </w:rPr>
        <w:t xml:space="preserve"> </w:t>
      </w:r>
      <w:r>
        <w:rPr>
          <w:rFonts w:hint="default" w:ascii="Cambria" w:hAnsi="Cambria" w:cs="Cambria"/>
          <w:bCs/>
          <w:sz w:val="24"/>
          <w:szCs w:val="24"/>
          <w:lang w:val="id-ID"/>
        </w:rPr>
        <w:t>di Indonesia</w:t>
      </w:r>
    </w:p>
    <w:p>
      <w:pPr>
        <w:pStyle w:val="13"/>
        <w:numPr>
          <w:ilvl w:val="0"/>
          <w:numId w:val="20"/>
        </w:numPr>
        <w:shd w:val="clear" w:color="auto" w:fill="FFFFFF" w:themeFill="background1"/>
        <w:tabs>
          <w:tab w:val="left" w:pos="993"/>
        </w:tabs>
        <w:spacing w:after="0" w:line="360" w:lineRule="auto"/>
        <w:ind w:left="1418" w:hanging="425"/>
        <w:jc w:val="both"/>
        <w:rPr>
          <w:rFonts w:hint="default" w:ascii="Cambria" w:hAnsi="Cambria" w:cs="Cambria"/>
          <w:sz w:val="24"/>
          <w:szCs w:val="24"/>
        </w:rPr>
      </w:pPr>
      <w:r>
        <w:rPr>
          <w:rFonts w:hint="default" w:ascii="Cambria" w:hAnsi="Cambria" w:cs="Cambria"/>
          <w:bCs/>
          <w:sz w:val="24"/>
          <w:szCs w:val="24"/>
          <w:lang w:val="id-ID"/>
        </w:rPr>
        <w:t>Belum optimalnya hasil pertanian dan perkebunan untuk kebutuhan pokok sepert</w:t>
      </w:r>
      <w:r>
        <w:rPr>
          <w:rFonts w:hint="default" w:ascii="Cambria" w:hAnsi="Cambria" w:cs="Cambria"/>
          <w:bCs/>
          <w:sz w:val="24"/>
          <w:szCs w:val="24"/>
        </w:rPr>
        <w:t xml:space="preserve"> </w:t>
      </w:r>
      <w:r>
        <w:rPr>
          <w:rFonts w:hint="default" w:ascii="Cambria" w:hAnsi="Cambria" w:cs="Cambria"/>
          <w:bCs/>
          <w:sz w:val="24"/>
          <w:szCs w:val="24"/>
          <w:lang w:val="id-ID"/>
        </w:rPr>
        <w:t>sayur-sayuran, buah-buahan, beras dan lainnya yang menyebabkan para pedagang masih memasok dari daerah lain untuk diperjual belikan di pasar</w:t>
      </w:r>
      <w:r>
        <w:rPr>
          <w:rFonts w:hint="default" w:ascii="Cambria" w:hAnsi="Cambria" w:cs="Cambria"/>
          <w:bCs/>
          <w:sz w:val="24"/>
          <w:szCs w:val="24"/>
        </w:rPr>
        <w:t>.</w:t>
      </w:r>
    </w:p>
    <w:p>
      <w:pPr>
        <w:pStyle w:val="13"/>
        <w:numPr>
          <w:ilvl w:val="0"/>
          <w:numId w:val="20"/>
        </w:numPr>
        <w:shd w:val="clear" w:color="auto" w:fill="FFFFFF" w:themeFill="background1"/>
        <w:tabs>
          <w:tab w:val="left" w:pos="993"/>
        </w:tabs>
        <w:spacing w:after="0" w:line="360" w:lineRule="auto"/>
        <w:ind w:left="1418" w:hanging="425"/>
        <w:jc w:val="both"/>
        <w:rPr>
          <w:rFonts w:hint="default" w:ascii="Cambria" w:hAnsi="Cambria" w:cs="Cambria"/>
          <w:sz w:val="24"/>
          <w:szCs w:val="24"/>
        </w:rPr>
      </w:pPr>
      <w:r>
        <w:rPr>
          <w:rFonts w:hint="default" w:ascii="Cambria" w:hAnsi="Cambria" w:cs="Cambria"/>
          <w:bCs/>
          <w:sz w:val="24"/>
          <w:szCs w:val="24"/>
          <w:lang w:val="id-ID"/>
        </w:rPr>
        <w:t>Menurunnya omzet para pedagang akibat menurunnya daya beli masyarakat oleh karena adanya pandemik covid-19 sampai saat ini</w:t>
      </w:r>
      <w:r>
        <w:rPr>
          <w:rFonts w:hint="default" w:ascii="Cambria" w:hAnsi="Cambria" w:cs="Cambria"/>
          <w:bCs/>
          <w:sz w:val="24"/>
          <w:szCs w:val="24"/>
        </w:rPr>
        <w:t>.</w:t>
      </w:r>
    </w:p>
    <w:p>
      <w:pPr>
        <w:pStyle w:val="13"/>
        <w:numPr>
          <w:ilvl w:val="0"/>
          <w:numId w:val="20"/>
        </w:numPr>
        <w:shd w:val="clear" w:color="auto" w:fill="FFFFFF" w:themeFill="background1"/>
        <w:tabs>
          <w:tab w:val="left" w:pos="993"/>
        </w:tabs>
        <w:spacing w:after="0" w:line="360" w:lineRule="auto"/>
        <w:ind w:left="1418" w:hanging="425"/>
        <w:jc w:val="both"/>
        <w:rPr>
          <w:rFonts w:hint="default" w:ascii="Cambria" w:hAnsi="Cambria" w:cs="Cambria"/>
          <w:sz w:val="24"/>
          <w:szCs w:val="24"/>
        </w:rPr>
      </w:pPr>
      <w:r>
        <w:rPr>
          <w:rFonts w:hint="default" w:ascii="Cambria" w:hAnsi="Cambria" w:cs="Cambria"/>
          <w:bCs/>
          <w:sz w:val="24"/>
          <w:szCs w:val="24"/>
          <w:lang w:val="id-ID"/>
        </w:rPr>
        <w:t>Belum tercapainya target Pendapatan Asli Daerah (PAD), sehingga untuk mengatasi hal tersebut agar target pendapatan dapat tercapai adalah dengan mengidentifikasi pungutan retribusi atas capaian yang tidak memenuhi target</w:t>
      </w:r>
      <w:r>
        <w:rPr>
          <w:rFonts w:hint="default" w:ascii="Cambria" w:hAnsi="Cambria" w:cs="Cambria"/>
          <w:bCs/>
          <w:sz w:val="24"/>
          <w:szCs w:val="24"/>
        </w:rPr>
        <w:t>.</w:t>
      </w:r>
    </w:p>
    <w:p>
      <w:pPr>
        <w:pStyle w:val="13"/>
        <w:numPr>
          <w:ilvl w:val="0"/>
          <w:numId w:val="20"/>
        </w:numPr>
        <w:shd w:val="clear" w:color="auto" w:fill="FFFFFF" w:themeFill="background1"/>
        <w:tabs>
          <w:tab w:val="left" w:pos="993"/>
        </w:tabs>
        <w:spacing w:after="0" w:line="360" w:lineRule="auto"/>
        <w:ind w:left="1418" w:hanging="425"/>
        <w:jc w:val="both"/>
        <w:rPr>
          <w:rFonts w:hint="default" w:ascii="Cambria" w:hAnsi="Cambria" w:cs="Cambria"/>
          <w:sz w:val="24"/>
          <w:szCs w:val="24"/>
        </w:rPr>
      </w:pPr>
      <w:r>
        <w:rPr>
          <w:rFonts w:hint="default" w:ascii="Cambria" w:hAnsi="Cambria" w:cs="Cambria"/>
          <w:bCs/>
          <w:sz w:val="24"/>
          <w:szCs w:val="24"/>
          <w:lang w:val="id-ID"/>
        </w:rPr>
        <w:t>Adanya beberapa pasar yang dibangun namun sampai saat ini belum difungsikan/dimanfaatkan oleh karena para pedagang lebih menyukai hamparan dibanding los dan kios dalam bangunan gedung pasar yang telah dibangun</w:t>
      </w:r>
      <w:r>
        <w:rPr>
          <w:rFonts w:hint="default" w:ascii="Cambria" w:hAnsi="Cambria" w:cs="Cambria"/>
          <w:bCs/>
          <w:sz w:val="24"/>
          <w:szCs w:val="24"/>
        </w:rPr>
        <w:t>.</w:t>
      </w:r>
    </w:p>
    <w:p>
      <w:pPr>
        <w:pStyle w:val="13"/>
        <w:shd w:val="clear" w:color="auto" w:fill="FFFFFF" w:themeFill="background1"/>
        <w:tabs>
          <w:tab w:val="left" w:pos="993"/>
        </w:tabs>
        <w:spacing w:after="0" w:line="360" w:lineRule="auto"/>
        <w:ind w:left="1418"/>
        <w:jc w:val="both"/>
        <w:rPr>
          <w:rFonts w:hint="default" w:ascii="Cambria" w:hAnsi="Cambria" w:cs="Cambria"/>
          <w:sz w:val="24"/>
          <w:szCs w:val="24"/>
        </w:rPr>
      </w:pPr>
    </w:p>
    <w:p>
      <w:pPr>
        <w:tabs>
          <w:tab w:val="left" w:pos="1701"/>
        </w:tabs>
        <w:autoSpaceDE w:val="0"/>
        <w:autoSpaceDN w:val="0"/>
        <w:adjustRightInd w:val="0"/>
        <w:spacing w:line="360" w:lineRule="auto"/>
        <w:ind w:left="709" w:firstLine="709"/>
        <w:jc w:val="both"/>
        <w:rPr>
          <w:rFonts w:hint="default" w:ascii="Cambria" w:hAnsi="Cambria" w:cs="Cambria"/>
          <w:bCs/>
          <w:sz w:val="24"/>
          <w:szCs w:val="24"/>
        </w:rPr>
      </w:pPr>
      <w:r>
        <w:rPr>
          <w:rFonts w:hint="default" w:ascii="Cambria" w:hAnsi="Cambria" w:cs="Cambria"/>
          <w:bCs/>
          <w:sz w:val="24"/>
          <w:szCs w:val="24"/>
        </w:rPr>
        <w:t xml:space="preserve">Beberapa faktor penghambat yang menjadi kendala dalam pencapaian sasaran kinerja tahun </w:t>
      </w:r>
      <w:r>
        <w:rPr>
          <w:rFonts w:hint="default" w:ascii="Cambria" w:hAnsi="Cambria" w:cs="Cambria"/>
          <w:bCs/>
          <w:color w:val="auto"/>
          <w:sz w:val="24"/>
          <w:szCs w:val="24"/>
        </w:rPr>
        <w:t>2022, a</w:t>
      </w:r>
      <w:r>
        <w:rPr>
          <w:rFonts w:hint="default" w:ascii="Cambria" w:hAnsi="Cambria" w:cs="Cambria"/>
          <w:bCs/>
          <w:sz w:val="24"/>
          <w:szCs w:val="24"/>
        </w:rPr>
        <w:t>dalah sebagai berikut :</w:t>
      </w:r>
    </w:p>
    <w:p>
      <w:pPr>
        <w:pStyle w:val="13"/>
        <w:numPr>
          <w:ilvl w:val="0"/>
          <w:numId w:val="21"/>
        </w:numPr>
        <w:autoSpaceDE w:val="0"/>
        <w:autoSpaceDN w:val="0"/>
        <w:adjustRightInd w:val="0"/>
        <w:spacing w:line="360" w:lineRule="auto"/>
        <w:ind w:left="1418" w:hanging="284"/>
        <w:jc w:val="both"/>
        <w:rPr>
          <w:rFonts w:hint="default" w:ascii="Cambria" w:hAnsi="Cambria" w:cs="Cambria"/>
          <w:bCs/>
          <w:sz w:val="24"/>
          <w:szCs w:val="24"/>
        </w:rPr>
      </w:pPr>
      <w:r>
        <w:rPr>
          <w:rFonts w:hint="default" w:ascii="Cambria" w:hAnsi="Cambria" w:cs="Cambria"/>
          <w:sz w:val="24"/>
          <w:szCs w:val="24"/>
        </w:rPr>
        <w:t xml:space="preserve">Belum optimalnya sistem distribusi barang kebutuhan pokok dan strategis yang efektif dan efisien. sistem distribusi barang kebutuhan pokok dan strategis yang efektif dan efisien disebabkan karena belum memadainya sarana dan prasarana logistik, seperti sarana transportasi (akses dan alat angkut), sarana pergudangan dan keterampilan SDM. </w:t>
      </w:r>
    </w:p>
    <w:p>
      <w:pPr>
        <w:pStyle w:val="13"/>
        <w:numPr>
          <w:ilvl w:val="0"/>
          <w:numId w:val="21"/>
        </w:numPr>
        <w:autoSpaceDE w:val="0"/>
        <w:autoSpaceDN w:val="0"/>
        <w:adjustRightInd w:val="0"/>
        <w:spacing w:line="360" w:lineRule="auto"/>
        <w:ind w:left="1418" w:hanging="284"/>
        <w:jc w:val="both"/>
        <w:rPr>
          <w:rFonts w:hint="default" w:ascii="Cambria" w:hAnsi="Cambria" w:cs="Cambria"/>
          <w:bCs/>
          <w:sz w:val="24"/>
          <w:szCs w:val="24"/>
        </w:rPr>
      </w:pPr>
      <w:r>
        <w:rPr>
          <w:rFonts w:hint="default" w:ascii="Cambria" w:hAnsi="Cambria" w:cs="Cambria"/>
          <w:sz w:val="24"/>
          <w:szCs w:val="24"/>
        </w:rPr>
        <w:t>Masih tingginya penggunaan barang impor yang relatif lebih terjangkau harganya. padahal yang diharapkan adalah sebaliknya. Penyebab utama kondisi ini adalah daya saing produk-produk dalam daerah yang masih perlu ditingkatkan kualitasnya.</w:t>
      </w:r>
    </w:p>
    <w:p>
      <w:pPr>
        <w:pStyle w:val="13"/>
        <w:numPr>
          <w:ilvl w:val="0"/>
          <w:numId w:val="21"/>
        </w:numPr>
        <w:autoSpaceDE w:val="0"/>
        <w:autoSpaceDN w:val="0"/>
        <w:adjustRightInd w:val="0"/>
        <w:spacing w:line="360" w:lineRule="auto"/>
        <w:ind w:left="1418" w:hanging="284"/>
        <w:jc w:val="both"/>
        <w:rPr>
          <w:rFonts w:hint="default" w:ascii="Cambria" w:hAnsi="Cambria" w:cs="Cambria"/>
          <w:bCs/>
          <w:sz w:val="24"/>
          <w:szCs w:val="24"/>
        </w:rPr>
      </w:pPr>
      <w:r>
        <w:rPr>
          <w:rFonts w:hint="default" w:ascii="Cambria" w:hAnsi="Cambria" w:cs="Cambria"/>
          <w:bCs/>
          <w:sz w:val="24"/>
          <w:szCs w:val="24"/>
        </w:rPr>
        <w:t>Volume arus barang keluar masuk Kabupaten Kepulauan Selayar masih sedikit sehingga belum efektif dan efisien untuk dilakukan pengiriman barang melalui container</w:t>
      </w:r>
    </w:p>
    <w:p>
      <w:pPr>
        <w:autoSpaceDE w:val="0"/>
        <w:autoSpaceDN w:val="0"/>
        <w:adjustRightInd w:val="0"/>
        <w:spacing w:after="0" w:line="360" w:lineRule="auto"/>
        <w:ind w:left="709" w:firstLine="709"/>
        <w:jc w:val="both"/>
        <w:rPr>
          <w:rFonts w:hint="default" w:ascii="Cambria" w:hAnsi="Cambria" w:cs="Cambria"/>
          <w:bCs/>
          <w:sz w:val="24"/>
          <w:szCs w:val="24"/>
        </w:rPr>
      </w:pPr>
      <w:r>
        <w:rPr>
          <w:rFonts w:hint="default" w:ascii="Cambria" w:hAnsi="Cambria" w:cs="Cambria"/>
          <w:bCs/>
          <w:sz w:val="24"/>
          <w:szCs w:val="24"/>
        </w:rPr>
        <w:t>Langkah-langkah kedepan yang harus dilakukan oleh Dinas Perindustrian, Perdagangan, Koperasi dan UKM dalam memperbaiki kinerja dan menghadapi tantangan kedepan, antara lain :</w:t>
      </w:r>
    </w:p>
    <w:p>
      <w:pPr>
        <w:pStyle w:val="13"/>
        <w:numPr>
          <w:ilvl w:val="0"/>
          <w:numId w:val="22"/>
        </w:numPr>
        <w:autoSpaceDE w:val="0"/>
        <w:autoSpaceDN w:val="0"/>
        <w:adjustRightInd w:val="0"/>
        <w:spacing w:after="0" w:line="360" w:lineRule="auto"/>
        <w:ind w:left="1134" w:hanging="425"/>
        <w:jc w:val="both"/>
        <w:rPr>
          <w:rFonts w:hint="default" w:ascii="Cambria" w:hAnsi="Cambria" w:cs="Cambria"/>
          <w:bCs/>
          <w:color w:val="C00000"/>
          <w:sz w:val="24"/>
          <w:szCs w:val="24"/>
        </w:rPr>
      </w:pPr>
      <w:r>
        <w:rPr>
          <w:rFonts w:hint="default" w:ascii="Cambria" w:hAnsi="Cambria" w:cs="Cambria"/>
          <w:bCs/>
          <w:color w:val="auto"/>
          <w:sz w:val="24"/>
          <w:szCs w:val="24"/>
        </w:rPr>
        <w:t>Melakukan percepatan pengembangan kawasan distribusi logistik dan kawasan industri khususnya di Kabupaten Kepulauan Selayar</w:t>
      </w:r>
      <w:r>
        <w:rPr>
          <w:rFonts w:hint="default" w:ascii="Cambria" w:hAnsi="Cambria" w:cs="Cambria"/>
          <w:bCs/>
          <w:color w:val="C00000"/>
          <w:sz w:val="24"/>
          <w:szCs w:val="24"/>
        </w:rPr>
        <w:t>.</w:t>
      </w:r>
    </w:p>
    <w:p>
      <w:pPr>
        <w:pStyle w:val="13"/>
        <w:numPr>
          <w:ilvl w:val="0"/>
          <w:numId w:val="22"/>
        </w:numPr>
        <w:autoSpaceDE w:val="0"/>
        <w:autoSpaceDN w:val="0"/>
        <w:adjustRightInd w:val="0"/>
        <w:spacing w:line="360" w:lineRule="auto"/>
        <w:ind w:left="1134" w:hanging="425"/>
        <w:jc w:val="both"/>
        <w:rPr>
          <w:rFonts w:hint="default" w:ascii="Cambria" w:hAnsi="Cambria" w:cs="Cambria"/>
          <w:bCs/>
          <w:sz w:val="24"/>
          <w:szCs w:val="24"/>
        </w:rPr>
      </w:pPr>
      <w:r>
        <w:rPr>
          <w:rFonts w:hint="default" w:ascii="Cambria" w:hAnsi="Cambria" w:cs="Cambria"/>
          <w:bCs/>
          <w:sz w:val="24"/>
          <w:szCs w:val="24"/>
        </w:rPr>
        <w:t>Melakukan pembinaan diaspek inovasi dan diversifikasi produk agar mendorong IKM yang kalah bersaing untuk dan berkembang dengan inovasi produk yang baru dan sesuai dengan selera pasar.</w:t>
      </w:r>
    </w:p>
    <w:p>
      <w:pPr>
        <w:pStyle w:val="13"/>
        <w:numPr>
          <w:ilvl w:val="0"/>
          <w:numId w:val="22"/>
        </w:numPr>
        <w:autoSpaceDE w:val="0"/>
        <w:autoSpaceDN w:val="0"/>
        <w:adjustRightInd w:val="0"/>
        <w:spacing w:line="360" w:lineRule="auto"/>
        <w:ind w:left="1134" w:hanging="425"/>
        <w:jc w:val="both"/>
        <w:rPr>
          <w:rFonts w:hint="default" w:ascii="Cambria" w:hAnsi="Cambria" w:cs="Cambria"/>
          <w:bCs/>
          <w:sz w:val="24"/>
          <w:szCs w:val="24"/>
        </w:rPr>
      </w:pPr>
      <w:r>
        <w:rPr>
          <w:rFonts w:hint="default" w:ascii="Cambria" w:hAnsi="Cambria" w:cs="Cambria"/>
          <w:bCs/>
          <w:sz w:val="24"/>
          <w:szCs w:val="24"/>
        </w:rPr>
        <w:t>Mengidentifikasi kebutuhan pelanggan, meminimalisir ketidakpastian, dan mem</w:t>
      </w:r>
      <w:r>
        <w:rPr>
          <w:rFonts w:hint="default" w:ascii="Cambria" w:hAnsi="Cambria" w:cs="Cambria"/>
          <w:color w:val="3C3C3B"/>
          <w:sz w:val="24"/>
          <w:szCs w:val="24"/>
        </w:rPr>
        <w:t>proses pembelian harus mudah dan cepat</w:t>
      </w:r>
    </w:p>
    <w:p>
      <w:pPr>
        <w:pStyle w:val="13"/>
        <w:numPr>
          <w:numId w:val="0"/>
        </w:numPr>
        <w:autoSpaceDE w:val="0"/>
        <w:autoSpaceDN w:val="0"/>
        <w:adjustRightInd w:val="0"/>
        <w:spacing w:after="200" w:line="360" w:lineRule="auto"/>
        <w:contextualSpacing/>
        <w:jc w:val="both"/>
        <w:rPr>
          <w:rFonts w:hint="default" w:ascii="Cambria" w:hAnsi="Cambria" w:cs="Cambria"/>
          <w:color w:val="3C3C3B"/>
          <w:sz w:val="24"/>
          <w:szCs w:val="24"/>
        </w:rPr>
      </w:pPr>
    </w:p>
    <w:p>
      <w:pPr>
        <w:pStyle w:val="13"/>
        <w:numPr>
          <w:numId w:val="0"/>
        </w:numPr>
        <w:autoSpaceDE w:val="0"/>
        <w:autoSpaceDN w:val="0"/>
        <w:adjustRightInd w:val="0"/>
        <w:spacing w:after="200" w:line="360" w:lineRule="auto"/>
        <w:contextualSpacing/>
        <w:jc w:val="both"/>
        <w:rPr>
          <w:rFonts w:hint="default" w:ascii="Cambria" w:hAnsi="Cambria" w:cs="Cambria"/>
          <w:color w:val="3C3C3B"/>
          <w:sz w:val="24"/>
          <w:szCs w:val="24"/>
        </w:rPr>
      </w:pPr>
    </w:p>
    <w:p>
      <w:pPr>
        <w:shd w:val="clear" w:color="auto" w:fill="FFFFFF" w:themeFill="background1"/>
        <w:spacing w:after="0" w:line="360" w:lineRule="auto"/>
        <w:ind w:left="426"/>
        <w:jc w:val="both"/>
        <w:rPr>
          <w:rFonts w:hint="default" w:ascii="Cambria" w:hAnsi="Cambria" w:cs="Cambria"/>
          <w:b/>
          <w:sz w:val="24"/>
          <w:szCs w:val="24"/>
        </w:rPr>
      </w:pPr>
      <w:r>
        <w:rPr>
          <w:rFonts w:hint="default" w:ascii="Cambria" w:hAnsi="Cambria" w:cs="Cambria"/>
          <w:b/>
          <w:sz w:val="24"/>
          <w:szCs w:val="24"/>
        </w:rPr>
        <w:t>D.3. KOPERASI DAN UKM</w:t>
      </w:r>
    </w:p>
    <w:p>
      <w:pPr>
        <w:shd w:val="clear" w:color="auto" w:fill="FFFFFF" w:themeFill="background1"/>
        <w:spacing w:after="0" w:line="360" w:lineRule="auto"/>
        <w:ind w:left="993" w:firstLine="851"/>
        <w:jc w:val="both"/>
        <w:rPr>
          <w:rFonts w:hint="default" w:ascii="Cambria" w:hAnsi="Cambria" w:cs="Cambria"/>
          <w:sz w:val="24"/>
          <w:szCs w:val="24"/>
        </w:rPr>
      </w:pPr>
      <w:r>
        <w:rPr>
          <w:rFonts w:hint="default" w:ascii="Cambria" w:hAnsi="Cambria" w:cs="Cambria"/>
          <w:sz w:val="24"/>
          <w:szCs w:val="24"/>
        </w:rPr>
        <w:t>Koperasi sebagai salah satu bentuk Ekonomi Industri yang   sangat penting karena keberadaannya di dukung oleh pemerintah dan sudah memasyarakat. Namun masalah yang dihadapi adalah kualitas manajemen koperasi yang masih di laksanakan secara tradisional sehingga kurang mampu bersaing baik dengan swasta maupun dengan usaha asing. Oleh sebab itu untuk mengatasi kelemahan tersebut tersebut perlu diadakan repositioning yang lebih menekankan pada aspek teknologi dan SDM (Brain Manajemen). Apalagi saat ini semua aktifitas lebih diarahkan kepada penangangan dampak pandemi covid-19.</w:t>
      </w:r>
    </w:p>
    <w:p>
      <w:pPr>
        <w:shd w:val="clear" w:color="auto" w:fill="FFFFFF" w:themeFill="background1"/>
        <w:spacing w:after="0" w:line="360" w:lineRule="auto"/>
        <w:ind w:left="993" w:firstLine="851"/>
        <w:jc w:val="both"/>
        <w:rPr>
          <w:rFonts w:hint="default" w:ascii="Cambria" w:hAnsi="Cambria" w:cs="Cambria"/>
          <w:sz w:val="24"/>
          <w:szCs w:val="24"/>
        </w:rPr>
      </w:pPr>
      <w:r>
        <w:rPr>
          <w:rFonts w:hint="default" w:ascii="Cambria" w:hAnsi="Cambria" w:cs="Cambria"/>
          <w:sz w:val="24"/>
          <w:szCs w:val="24"/>
        </w:rPr>
        <w:t xml:space="preserve">Jumlah pelaku usaha mikro dan usaha kecil di Kabupaten Kepulauan Selayar Bervariasi </w:t>
      </w:r>
      <w:r>
        <w:rPr>
          <w:rFonts w:hint="default" w:ascii="Cambria" w:hAnsi="Cambria" w:cs="Cambria"/>
          <w:color w:val="auto"/>
          <w:sz w:val="24"/>
          <w:szCs w:val="24"/>
          <w:highlight w:val="none"/>
        </w:rPr>
        <w:t>dari tahun 2017-2022 sebanyak 19.</w:t>
      </w:r>
      <w:r>
        <w:rPr>
          <w:rFonts w:hint="default" w:ascii="Cambria" w:hAnsi="Cambria" w:cs="Cambria"/>
          <w:color w:val="auto"/>
          <w:sz w:val="24"/>
          <w:szCs w:val="24"/>
          <w:highlight w:val="none"/>
          <w:lang w:val="id-ID"/>
        </w:rPr>
        <w:t>62</w:t>
      </w:r>
      <w:r>
        <w:rPr>
          <w:rFonts w:hint="default" w:ascii="Cambria" w:hAnsi="Cambria" w:cs="Cambria"/>
          <w:color w:val="auto"/>
          <w:sz w:val="24"/>
          <w:szCs w:val="24"/>
          <w:highlight w:val="none"/>
          <w:lang w:val="en-US"/>
        </w:rPr>
        <w:t>5</w:t>
      </w:r>
      <w:r>
        <w:rPr>
          <w:rFonts w:hint="default" w:ascii="Cambria" w:hAnsi="Cambria" w:cs="Cambria"/>
          <w:color w:val="auto"/>
          <w:sz w:val="24"/>
          <w:szCs w:val="24"/>
          <w:highlight w:val="none"/>
        </w:rPr>
        <w:t xml:space="preserve"> pelaku UMKM dari berbagai sektor.</w:t>
      </w:r>
      <w:r>
        <w:rPr>
          <w:rFonts w:hint="default" w:ascii="Cambria" w:hAnsi="Cambria" w:cs="Cambria"/>
          <w:sz w:val="24"/>
          <w:szCs w:val="24"/>
        </w:rPr>
        <w:t xml:space="preserve"> dan potensi Sumber Daya Alam yang di miliki Kabupaten Kepulauan Selayar cukup lengkap dan beragam baik pertanian, perkebunan, perikanan, kelautan, peternakan maupun pariwisata yang semoga dapat dikelola dan di kembangkan untuk meningkatkan kesejahteraan masyarakat namun karena keterbatasan SDM maupun teknologi cepat guna</w:t>
      </w:r>
    </w:p>
    <w:p>
      <w:pPr>
        <w:tabs>
          <w:tab w:val="left" w:pos="1701"/>
        </w:tabs>
        <w:autoSpaceDE w:val="0"/>
        <w:autoSpaceDN w:val="0"/>
        <w:adjustRightInd w:val="0"/>
        <w:spacing w:after="0" w:line="360" w:lineRule="auto"/>
        <w:ind w:left="993"/>
        <w:jc w:val="both"/>
        <w:rPr>
          <w:rFonts w:hint="default" w:ascii="Cambria" w:hAnsi="Cambria" w:cs="Cambria"/>
          <w:sz w:val="24"/>
          <w:szCs w:val="24"/>
        </w:rPr>
      </w:pPr>
      <w:r>
        <w:rPr>
          <w:rFonts w:hint="default" w:ascii="Cambria" w:hAnsi="Cambria" w:cs="Cambria"/>
          <w:sz w:val="24"/>
          <w:szCs w:val="24"/>
        </w:rPr>
        <w:t>Permasalahan strategisnya yaitu :</w:t>
      </w:r>
    </w:p>
    <w:p>
      <w:pPr>
        <w:pStyle w:val="13"/>
        <w:numPr>
          <w:ilvl w:val="1"/>
          <w:numId w:val="23"/>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sz w:val="24"/>
          <w:szCs w:val="24"/>
        </w:rPr>
        <w:t xml:space="preserve"> Pemodalan adalah masalah UKM yang utama. Efeknya para pengusaha tidak mampu meningkatkan jumlah produksinya untuk bisa mendapatkan keuntungan yang lebih banyak.</w:t>
      </w:r>
    </w:p>
    <w:p>
      <w:pPr>
        <w:pStyle w:val="13"/>
        <w:numPr>
          <w:ilvl w:val="1"/>
          <w:numId w:val="23"/>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sz w:val="24"/>
          <w:szCs w:val="24"/>
        </w:rPr>
        <w:t>Kurangnya pengalaman mereka tentang manajemen bisnis. Banyak dari mereka yang hanya fokus dalam memproduksi barang, namun tidak memikirkan cara ekspansi bisnis apalagi mereka kesulitan dalam meningkatkan bisnisnya dan usaha mereka pun hanya berjualan di tempat.</w:t>
      </w:r>
    </w:p>
    <w:p>
      <w:pPr>
        <w:pStyle w:val="13"/>
        <w:numPr>
          <w:ilvl w:val="1"/>
          <w:numId w:val="23"/>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sz w:val="24"/>
          <w:szCs w:val="24"/>
        </w:rPr>
        <w:t>Kurangnya inovasi produk dalam hal meningkatkan daya saing bisnis. Para pengusaha seringkali di hadapkan pada kendala ketika melakukan inovasi produksinya.</w:t>
      </w:r>
    </w:p>
    <w:p>
      <w:pPr>
        <w:pStyle w:val="13"/>
        <w:numPr>
          <w:ilvl w:val="1"/>
          <w:numId w:val="23"/>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sz w:val="24"/>
          <w:szCs w:val="24"/>
        </w:rPr>
        <w:t>Kesulitan dalam mendistribusikan produk karena selama ini kebanyakan pelaku UKM selalu kekurangan akses dalam hal mendistribusikan produknya dan belum memanfaatkan/mengoptimalkan pemasaran online.</w:t>
      </w:r>
    </w:p>
    <w:p>
      <w:pPr>
        <w:pStyle w:val="13"/>
        <w:autoSpaceDE w:val="0"/>
        <w:autoSpaceDN w:val="0"/>
        <w:adjustRightInd w:val="0"/>
        <w:spacing w:after="0" w:line="360" w:lineRule="auto"/>
        <w:ind w:left="1418"/>
        <w:jc w:val="both"/>
        <w:rPr>
          <w:rFonts w:hint="default" w:ascii="Cambria" w:hAnsi="Cambria" w:cs="Cambria"/>
          <w:sz w:val="24"/>
          <w:szCs w:val="24"/>
        </w:rPr>
      </w:pPr>
    </w:p>
    <w:p>
      <w:pPr>
        <w:autoSpaceDE w:val="0"/>
        <w:autoSpaceDN w:val="0"/>
        <w:adjustRightInd w:val="0"/>
        <w:spacing w:after="0" w:line="360" w:lineRule="auto"/>
        <w:ind w:left="993" w:firstLine="850"/>
        <w:jc w:val="both"/>
        <w:rPr>
          <w:rFonts w:hint="default" w:ascii="Cambria" w:hAnsi="Cambria" w:cs="Cambria"/>
          <w:bCs/>
          <w:sz w:val="24"/>
          <w:szCs w:val="24"/>
        </w:rPr>
      </w:pPr>
      <w:r>
        <w:rPr>
          <w:rFonts w:hint="default" w:ascii="Cambria" w:hAnsi="Cambria" w:cs="Cambria"/>
          <w:bCs/>
          <w:sz w:val="24"/>
          <w:szCs w:val="24"/>
        </w:rPr>
        <w:t>Beberapa faktor penghambat yang menjadi kendala dalam pencapaian sasaran kinerja  tahun 2022, adalah sebagai berikut :</w:t>
      </w:r>
    </w:p>
    <w:p>
      <w:pPr>
        <w:pStyle w:val="13"/>
        <w:numPr>
          <w:ilvl w:val="0"/>
          <w:numId w:val="24"/>
        </w:numPr>
        <w:autoSpaceDE w:val="0"/>
        <w:autoSpaceDN w:val="0"/>
        <w:adjustRightInd w:val="0"/>
        <w:spacing w:after="0" w:line="360" w:lineRule="auto"/>
        <w:ind w:left="1418" w:hanging="425"/>
        <w:jc w:val="both"/>
        <w:rPr>
          <w:rFonts w:hint="default" w:ascii="Cambria" w:hAnsi="Cambria" w:cs="Cambria"/>
          <w:bCs/>
          <w:sz w:val="24"/>
          <w:szCs w:val="24"/>
        </w:rPr>
      </w:pPr>
      <w:r>
        <w:rPr>
          <w:rFonts w:hint="default" w:ascii="Cambria" w:hAnsi="Cambria" w:cs="Cambria"/>
          <w:sz w:val="24"/>
          <w:szCs w:val="24"/>
        </w:rPr>
        <w:t>Banyaknya koperasi yang kondisinya sudah tidak sehat, karena kurang dikuasainya manajemen koperasi oleh pengurus maupun anggota.</w:t>
      </w:r>
    </w:p>
    <w:p>
      <w:pPr>
        <w:pStyle w:val="13"/>
        <w:numPr>
          <w:ilvl w:val="0"/>
          <w:numId w:val="24"/>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sz w:val="24"/>
          <w:szCs w:val="24"/>
        </w:rPr>
        <w:t>Masih banyak Koperasi yang memerlukan bantuan fasilitas dalam mengembangkan usahanya.</w:t>
      </w:r>
    </w:p>
    <w:p>
      <w:pPr>
        <w:pStyle w:val="13"/>
        <w:numPr>
          <w:ilvl w:val="0"/>
          <w:numId w:val="24"/>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sz w:val="24"/>
          <w:szCs w:val="24"/>
        </w:rPr>
        <w:t xml:space="preserve">Akses pelaku usaha Koperasi terhadap layanan perbankan relatif rendah. </w:t>
      </w:r>
    </w:p>
    <w:p>
      <w:pPr>
        <w:pStyle w:val="13"/>
        <w:numPr>
          <w:ilvl w:val="0"/>
          <w:numId w:val="24"/>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sz w:val="24"/>
          <w:szCs w:val="24"/>
        </w:rPr>
        <w:t>Kondisi pandemi covid-19 yang membatasi ruang gerak pelaksanaan kegiatan karena semuanya diarahkan ke penanganan covid-19.</w:t>
      </w:r>
    </w:p>
    <w:p>
      <w:pPr>
        <w:pStyle w:val="13"/>
        <w:numPr>
          <w:ilvl w:val="0"/>
          <w:numId w:val="24"/>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color w:val="000000"/>
          <w:sz w:val="24"/>
          <w:szCs w:val="24"/>
        </w:rPr>
        <w:t>Masih rendahnya pelaksanaan ART</w:t>
      </w:r>
    </w:p>
    <w:p>
      <w:pPr>
        <w:pStyle w:val="13"/>
        <w:numPr>
          <w:ilvl w:val="0"/>
          <w:numId w:val="24"/>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color w:val="000000"/>
          <w:sz w:val="24"/>
          <w:szCs w:val="24"/>
        </w:rPr>
        <w:t>Adanya tunggakan penerima bantuan</w:t>
      </w:r>
    </w:p>
    <w:p>
      <w:pPr>
        <w:pStyle w:val="13"/>
        <w:numPr>
          <w:ilvl w:val="0"/>
          <w:numId w:val="24"/>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color w:val="000000"/>
          <w:sz w:val="24"/>
          <w:szCs w:val="24"/>
        </w:rPr>
        <w:t>Kegiatan usaha tidak berjalan</w:t>
      </w:r>
    </w:p>
    <w:p>
      <w:pPr>
        <w:pStyle w:val="13"/>
        <w:numPr>
          <w:ilvl w:val="0"/>
          <w:numId w:val="24"/>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color w:val="000000"/>
          <w:sz w:val="24"/>
          <w:szCs w:val="24"/>
        </w:rPr>
        <w:t>Belum optimalnya pengelolaan sentra produksi</w:t>
      </w:r>
    </w:p>
    <w:p>
      <w:pPr>
        <w:pStyle w:val="13"/>
        <w:numPr>
          <w:ilvl w:val="0"/>
          <w:numId w:val="24"/>
        </w:numPr>
        <w:autoSpaceDE w:val="0"/>
        <w:autoSpaceDN w:val="0"/>
        <w:adjustRightInd w:val="0"/>
        <w:spacing w:after="0" w:line="360" w:lineRule="auto"/>
        <w:ind w:left="1418" w:hanging="425"/>
        <w:jc w:val="both"/>
        <w:rPr>
          <w:rFonts w:hint="default" w:ascii="Cambria" w:hAnsi="Cambria" w:cs="Cambria"/>
          <w:sz w:val="24"/>
          <w:szCs w:val="24"/>
        </w:rPr>
      </w:pPr>
      <w:r>
        <w:rPr>
          <w:rFonts w:hint="default" w:ascii="Cambria" w:hAnsi="Cambria" w:cs="Cambria"/>
          <w:color w:val="000000"/>
          <w:sz w:val="24"/>
          <w:szCs w:val="24"/>
        </w:rPr>
        <w:t>Terbatasnya tenaga terampil</w:t>
      </w:r>
      <w:r>
        <w:rPr>
          <w:rFonts w:hint="default" w:ascii="Cambria" w:hAnsi="Cambria" w:cs="Cambria"/>
          <w:color w:val="000000"/>
          <w:sz w:val="24"/>
          <w:szCs w:val="24"/>
          <w:lang w:val="en-US"/>
        </w:rPr>
        <w:t>.</w:t>
      </w:r>
    </w:p>
    <w:p>
      <w:pPr>
        <w:pStyle w:val="13"/>
        <w:tabs>
          <w:tab w:val="left" w:pos="851"/>
          <w:tab w:val="left" w:pos="1701"/>
        </w:tabs>
        <w:autoSpaceDE w:val="0"/>
        <w:autoSpaceDN w:val="0"/>
        <w:adjustRightInd w:val="0"/>
        <w:spacing w:before="240" w:after="0" w:line="360" w:lineRule="auto"/>
        <w:ind w:left="1418"/>
        <w:jc w:val="both"/>
        <w:rPr>
          <w:rFonts w:hint="default" w:ascii="Cambria" w:hAnsi="Cambria" w:cs="Cambria"/>
          <w:sz w:val="24"/>
          <w:szCs w:val="24"/>
        </w:rPr>
      </w:pPr>
    </w:p>
    <w:p>
      <w:pPr>
        <w:autoSpaceDE w:val="0"/>
        <w:autoSpaceDN w:val="0"/>
        <w:adjustRightInd w:val="0"/>
        <w:spacing w:after="0" w:line="360" w:lineRule="auto"/>
        <w:ind w:left="993" w:firstLine="850"/>
        <w:jc w:val="both"/>
        <w:rPr>
          <w:rFonts w:hint="default" w:ascii="Cambria" w:hAnsi="Cambria" w:cs="Cambria"/>
          <w:bCs/>
          <w:sz w:val="24"/>
          <w:szCs w:val="24"/>
        </w:rPr>
      </w:pPr>
      <w:r>
        <w:rPr>
          <w:rFonts w:hint="default" w:ascii="Cambria" w:hAnsi="Cambria" w:cs="Cambria"/>
          <w:bCs/>
          <w:sz w:val="24"/>
          <w:szCs w:val="24"/>
        </w:rPr>
        <w:t>Langkah-langkah kedepan yang harus dilakukan oleh Dinas Perindustrian, Perdagangan, Koperasi dan UKM dalam memperbaiki kinerja dan menghadapi tantangan kedepan, antara lain :</w:t>
      </w:r>
    </w:p>
    <w:p>
      <w:pPr>
        <w:pStyle w:val="13"/>
        <w:numPr>
          <w:ilvl w:val="0"/>
          <w:numId w:val="25"/>
        </w:numPr>
        <w:autoSpaceDE w:val="0"/>
        <w:autoSpaceDN w:val="0"/>
        <w:adjustRightInd w:val="0"/>
        <w:spacing w:after="0" w:line="360" w:lineRule="auto"/>
        <w:ind w:left="1418" w:hanging="425"/>
        <w:jc w:val="both"/>
        <w:rPr>
          <w:rFonts w:hint="default" w:ascii="Cambria" w:hAnsi="Cambria" w:cs="Cambria"/>
          <w:bCs/>
          <w:sz w:val="24"/>
          <w:szCs w:val="24"/>
        </w:rPr>
      </w:pPr>
      <w:r>
        <w:rPr>
          <w:rFonts w:hint="default" w:ascii="Cambria" w:hAnsi="Cambria" w:cs="Cambria"/>
          <w:sz w:val="24"/>
          <w:szCs w:val="24"/>
        </w:rPr>
        <w:t>Melakukan penyuluhan, pembinaan dan pelatihan kepada Koperasi yang kondisinya sudah tidak sehat</w:t>
      </w:r>
    </w:p>
    <w:p>
      <w:pPr>
        <w:pStyle w:val="13"/>
        <w:numPr>
          <w:ilvl w:val="0"/>
          <w:numId w:val="25"/>
        </w:numPr>
        <w:autoSpaceDE w:val="0"/>
        <w:autoSpaceDN w:val="0"/>
        <w:adjustRightInd w:val="0"/>
        <w:spacing w:after="0" w:line="360" w:lineRule="auto"/>
        <w:ind w:left="1418" w:hanging="425"/>
        <w:jc w:val="both"/>
        <w:rPr>
          <w:rFonts w:hint="default" w:ascii="Cambria" w:hAnsi="Cambria" w:cs="Cambria"/>
          <w:bCs/>
          <w:sz w:val="24"/>
          <w:szCs w:val="24"/>
        </w:rPr>
      </w:pPr>
      <w:r>
        <w:rPr>
          <w:rFonts w:hint="default" w:ascii="Cambria" w:hAnsi="Cambria" w:cs="Cambria"/>
          <w:sz w:val="24"/>
          <w:szCs w:val="24"/>
        </w:rPr>
        <w:t xml:space="preserve">Mencari peluang anggaran pembinaan baik ke APBD Provinsi maupun APBN; </w:t>
      </w:r>
    </w:p>
    <w:p>
      <w:pPr>
        <w:pStyle w:val="13"/>
        <w:numPr>
          <w:ilvl w:val="0"/>
          <w:numId w:val="25"/>
        </w:numPr>
        <w:autoSpaceDE w:val="0"/>
        <w:autoSpaceDN w:val="0"/>
        <w:adjustRightInd w:val="0"/>
        <w:spacing w:after="0" w:line="360" w:lineRule="auto"/>
        <w:ind w:left="1418" w:hanging="425"/>
        <w:jc w:val="both"/>
        <w:rPr>
          <w:rFonts w:hint="default" w:ascii="Cambria" w:hAnsi="Cambria" w:cs="Cambria"/>
          <w:bCs/>
          <w:sz w:val="24"/>
          <w:szCs w:val="24"/>
        </w:rPr>
      </w:pPr>
      <w:r>
        <w:rPr>
          <w:rFonts w:hint="default" w:ascii="Cambria" w:hAnsi="Cambria" w:cs="Cambria"/>
          <w:sz w:val="24"/>
          <w:szCs w:val="24"/>
        </w:rPr>
        <w:t>Meningkatkan akses pelaku usaha Koperasi dan UMKM terhadap layanan perbankan.</w:t>
      </w:r>
    </w:p>
    <w:p>
      <w:pPr>
        <w:pStyle w:val="13"/>
        <w:numPr>
          <w:ilvl w:val="0"/>
          <w:numId w:val="25"/>
        </w:numPr>
        <w:autoSpaceDE w:val="0"/>
        <w:autoSpaceDN w:val="0"/>
        <w:adjustRightInd w:val="0"/>
        <w:spacing w:after="0" w:line="360" w:lineRule="auto"/>
        <w:ind w:left="1418" w:hanging="425"/>
        <w:jc w:val="both"/>
        <w:rPr>
          <w:rFonts w:hint="default" w:ascii="Cambria" w:hAnsi="Cambria" w:cs="Cambria"/>
          <w:bCs/>
          <w:sz w:val="24"/>
          <w:szCs w:val="24"/>
        </w:rPr>
      </w:pPr>
      <w:r>
        <w:rPr>
          <w:rFonts w:hint="default" w:ascii="Cambria" w:hAnsi="Cambria" w:cs="Cambria"/>
          <w:sz w:val="24"/>
          <w:szCs w:val="24"/>
        </w:rPr>
        <w:t>Mengefektifkan penggunaan anggaran dalam setiap pelaksanaan kegiatan.</w:t>
      </w:r>
    </w:p>
    <w:p>
      <w:pPr>
        <w:pStyle w:val="13"/>
        <w:numPr>
          <w:ilvl w:val="0"/>
          <w:numId w:val="25"/>
        </w:numPr>
        <w:autoSpaceDE w:val="0"/>
        <w:autoSpaceDN w:val="0"/>
        <w:adjustRightInd w:val="0"/>
        <w:spacing w:after="0" w:line="360" w:lineRule="auto"/>
        <w:ind w:left="1418" w:hanging="425"/>
        <w:jc w:val="both"/>
        <w:rPr>
          <w:rFonts w:hint="default" w:ascii="Cambria" w:hAnsi="Cambria" w:cs="Cambria"/>
          <w:bCs/>
          <w:sz w:val="24"/>
          <w:szCs w:val="24"/>
        </w:rPr>
      </w:pPr>
      <w:r>
        <w:rPr>
          <w:rFonts w:hint="default" w:ascii="Cambria" w:hAnsi="Cambria" w:cs="Cambria"/>
          <w:sz w:val="24"/>
          <w:szCs w:val="24"/>
        </w:rPr>
        <w:t>Mengoptimalkan penagihan terhadap penerima bantuan yang menunggak</w:t>
      </w:r>
    </w:p>
    <w:p>
      <w:pPr>
        <w:pStyle w:val="13"/>
        <w:numPr>
          <w:ilvl w:val="0"/>
          <w:numId w:val="25"/>
        </w:numPr>
        <w:autoSpaceDE w:val="0"/>
        <w:autoSpaceDN w:val="0"/>
        <w:adjustRightInd w:val="0"/>
        <w:spacing w:after="0" w:line="360" w:lineRule="auto"/>
        <w:ind w:left="1418" w:hanging="425"/>
        <w:jc w:val="both"/>
        <w:rPr>
          <w:rFonts w:hint="default" w:ascii="Cambria" w:hAnsi="Cambria" w:cs="Cambria"/>
          <w:bCs/>
          <w:sz w:val="24"/>
          <w:szCs w:val="24"/>
        </w:rPr>
      </w:pPr>
      <w:r>
        <w:rPr>
          <w:rFonts w:hint="default" w:ascii="Cambria" w:hAnsi="Cambria" w:cs="Cambria"/>
          <w:sz w:val="24"/>
          <w:szCs w:val="24"/>
        </w:rPr>
        <w:t>Melakukan pendampingan untuk berjalannya kegiatan usaha koperasi</w:t>
      </w:r>
      <w:r>
        <w:rPr>
          <w:rFonts w:hint="default" w:ascii="Cambria" w:hAnsi="Cambria" w:cs="Cambria"/>
          <w:sz w:val="24"/>
          <w:szCs w:val="24"/>
          <w:lang w:val="en-US"/>
        </w:rPr>
        <w:t>.</w:t>
      </w:r>
    </w:p>
    <w:p>
      <w:pPr>
        <w:pStyle w:val="13"/>
        <w:numPr>
          <w:ilvl w:val="0"/>
          <w:numId w:val="25"/>
        </w:numPr>
        <w:autoSpaceDE w:val="0"/>
        <w:autoSpaceDN w:val="0"/>
        <w:adjustRightInd w:val="0"/>
        <w:spacing w:after="0" w:line="360" w:lineRule="auto"/>
        <w:ind w:left="1418" w:hanging="425"/>
        <w:jc w:val="both"/>
        <w:rPr>
          <w:rFonts w:hint="default" w:ascii="Cambria" w:hAnsi="Cambria" w:cs="Cambria"/>
          <w:bCs/>
          <w:sz w:val="24"/>
          <w:szCs w:val="24"/>
        </w:rPr>
      </w:pPr>
      <w:r>
        <w:rPr>
          <w:rFonts w:hint="default" w:ascii="Cambria" w:hAnsi="Cambria" w:cs="Cambria"/>
          <w:sz w:val="24"/>
          <w:szCs w:val="24"/>
        </w:rPr>
        <w:t>Meningkatnya keterampilan masyarakat dalam mengelola UKM secara swadaya.</w:t>
      </w:r>
    </w:p>
    <w:p>
      <w:pPr>
        <w:pStyle w:val="13"/>
        <w:numPr>
          <w:ilvl w:val="0"/>
          <w:numId w:val="25"/>
        </w:numPr>
        <w:autoSpaceDE w:val="0"/>
        <w:autoSpaceDN w:val="0"/>
        <w:adjustRightInd w:val="0"/>
        <w:spacing w:after="0" w:line="360" w:lineRule="auto"/>
        <w:ind w:left="1418" w:hanging="425"/>
        <w:jc w:val="both"/>
        <w:rPr>
          <w:rFonts w:hint="default" w:ascii="Cambria" w:hAnsi="Cambria" w:cs="Cambria"/>
          <w:bCs/>
          <w:sz w:val="24"/>
          <w:szCs w:val="24"/>
        </w:rPr>
      </w:pPr>
      <w:r>
        <w:rPr>
          <w:rFonts w:hint="default" w:ascii="Cambria" w:hAnsi="Cambria" w:cs="Cambria"/>
          <w:sz w:val="24"/>
          <w:szCs w:val="24"/>
        </w:rPr>
        <w:t>Program penciptaan, penguatan dan fasilitasi UMKM yang produktif</w:t>
      </w:r>
    </w:p>
    <w:p>
      <w:pPr>
        <w:pStyle w:val="13"/>
        <w:autoSpaceDE w:val="0"/>
        <w:autoSpaceDN w:val="0"/>
        <w:adjustRightInd w:val="0"/>
        <w:spacing w:after="0" w:line="360" w:lineRule="auto"/>
        <w:ind w:left="993"/>
        <w:jc w:val="both"/>
        <w:rPr>
          <w:rFonts w:hint="default" w:ascii="Cambria" w:hAnsi="Cambria" w:cs="Cambria"/>
          <w:bCs/>
          <w:sz w:val="24"/>
          <w:szCs w:val="24"/>
        </w:rPr>
      </w:pPr>
    </w:p>
    <w:p>
      <w:pPr>
        <w:spacing w:after="0" w:line="360" w:lineRule="auto"/>
        <w:ind w:left="993" w:firstLine="850"/>
        <w:rPr>
          <w:rFonts w:hint="default" w:ascii="Cambria" w:hAnsi="Cambria" w:cs="Cambria"/>
          <w:sz w:val="24"/>
          <w:szCs w:val="24"/>
        </w:rPr>
      </w:pPr>
      <w:r>
        <w:rPr>
          <w:rFonts w:hint="default" w:ascii="Cambria" w:hAnsi="Cambria" w:cs="Cambria"/>
          <w:sz w:val="24"/>
          <w:szCs w:val="24"/>
        </w:rPr>
        <w:t>Data / Hal-hal lain yang dianggap perlu juga untuk dilaksanakan oleh Pemerintah :</w:t>
      </w:r>
    </w:p>
    <w:p>
      <w:pPr>
        <w:pStyle w:val="13"/>
        <w:numPr>
          <w:ilvl w:val="0"/>
          <w:numId w:val="26"/>
        </w:numPr>
        <w:spacing w:after="0" w:line="360" w:lineRule="auto"/>
        <w:ind w:left="1418" w:hanging="425"/>
        <w:jc w:val="both"/>
        <w:rPr>
          <w:rFonts w:hint="default" w:ascii="Cambria" w:hAnsi="Cambria" w:cs="Cambria"/>
          <w:sz w:val="24"/>
          <w:szCs w:val="24"/>
        </w:rPr>
      </w:pPr>
      <w:r>
        <w:rPr>
          <w:rFonts w:hint="default" w:ascii="Cambria" w:hAnsi="Cambria" w:cs="Cambria"/>
          <w:sz w:val="24"/>
          <w:szCs w:val="24"/>
        </w:rPr>
        <w:t>Menumbuhkan iklim usaha yang kondusif bagi usaha kecil melalui penetapan peraturan perundang undangan dan kebijakan : pendanaan, persaingan, prasarana, informasi, kemitraan, perijinan usaha dan perlindungaan’</w:t>
      </w:r>
    </w:p>
    <w:p>
      <w:pPr>
        <w:pStyle w:val="13"/>
        <w:numPr>
          <w:ilvl w:val="0"/>
          <w:numId w:val="26"/>
        </w:numPr>
        <w:spacing w:after="0" w:line="360" w:lineRule="auto"/>
        <w:ind w:left="1418" w:hanging="425"/>
        <w:jc w:val="both"/>
        <w:rPr>
          <w:rFonts w:hint="default" w:ascii="Cambria" w:hAnsi="Cambria" w:cs="Cambria"/>
          <w:sz w:val="24"/>
          <w:szCs w:val="24"/>
        </w:rPr>
      </w:pPr>
      <w:r>
        <w:rPr>
          <w:rFonts w:hint="default" w:ascii="Cambria" w:hAnsi="Cambria" w:cs="Cambria"/>
          <w:sz w:val="24"/>
          <w:szCs w:val="24"/>
        </w:rPr>
        <w:t>Melakukan pembinaan dan pengembangan usaha kecil bersama-sama dunia usaha dan masyarakat terutama dalam bidang ; produksi dan pengolahan, pemasaran, sumberdaya manusia dan tehnologi.</w:t>
      </w:r>
    </w:p>
    <w:p>
      <w:pPr>
        <w:pStyle w:val="13"/>
        <w:numPr>
          <w:ilvl w:val="0"/>
          <w:numId w:val="26"/>
        </w:numPr>
        <w:spacing w:after="0" w:line="360" w:lineRule="auto"/>
        <w:ind w:left="1418" w:hanging="425"/>
        <w:jc w:val="both"/>
        <w:rPr>
          <w:rFonts w:hint="default" w:ascii="Cambria" w:hAnsi="Cambria" w:cs="Cambria"/>
          <w:sz w:val="24"/>
          <w:szCs w:val="24"/>
        </w:rPr>
      </w:pPr>
      <w:r>
        <w:rPr>
          <w:rFonts w:hint="default" w:ascii="Cambria" w:hAnsi="Cambria" w:cs="Cambria"/>
          <w:sz w:val="24"/>
          <w:szCs w:val="24"/>
        </w:rPr>
        <w:t>Menyediakan pembiayaan bagi pemberdayaan usaha kecil bersama-sama dunia usaha dan masyarakat, berupa : kredit perbankan, pinjaaman lembaga keuangan bukan bank, modal, pinjaman dari penyisihan sebagian laba BUMN, hibah dan jenis pembiayaan lainnya.</w:t>
      </w:r>
    </w:p>
    <w:p>
      <w:pPr>
        <w:pStyle w:val="13"/>
        <w:numPr>
          <w:ilvl w:val="0"/>
          <w:numId w:val="26"/>
        </w:numPr>
        <w:spacing w:after="0" w:line="360" w:lineRule="auto"/>
        <w:ind w:left="1418" w:hanging="425"/>
        <w:jc w:val="both"/>
        <w:rPr>
          <w:rFonts w:hint="default" w:ascii="Cambria" w:hAnsi="Cambria" w:cs="Cambria"/>
          <w:sz w:val="24"/>
          <w:szCs w:val="24"/>
        </w:rPr>
      </w:pPr>
      <w:r>
        <w:rPr>
          <w:rFonts w:hint="default" w:ascii="Cambria" w:hAnsi="Cambria" w:cs="Cambria"/>
          <w:sz w:val="24"/>
          <w:szCs w:val="24"/>
        </w:rPr>
        <w:t>Memfasilitasi kemitraan usaaha kecil dengan usaha menengah dan besar melalui pola; inti plasma, subkontrak, dagang umum waralaba, keaagenan dan bentuk-bentuk kemitraan lainnya.</w:t>
      </w:r>
    </w:p>
    <w:p>
      <w:pPr>
        <w:spacing w:after="0" w:line="360" w:lineRule="auto"/>
        <w:rPr>
          <w:rFonts w:hint="default" w:ascii="Cambria" w:hAnsi="Cambria" w:cs="Cambria"/>
          <w:sz w:val="24"/>
          <w:szCs w:val="24"/>
        </w:rPr>
      </w:pPr>
    </w:p>
    <w:p>
      <w:pPr>
        <w:spacing w:after="0" w:line="360" w:lineRule="auto"/>
        <w:jc w:val="center"/>
        <w:rPr>
          <w:rFonts w:hint="default" w:ascii="Cambria" w:hAnsi="Cambria" w:cs="Cambria"/>
          <w:b/>
          <w:bCs/>
          <w:sz w:val="24"/>
          <w:szCs w:val="24"/>
        </w:rPr>
      </w:pPr>
      <w:r>
        <w:rPr>
          <w:rFonts w:hint="default" w:ascii="Cambria" w:hAnsi="Cambria" w:cs="Cambria"/>
          <w:b/>
          <w:bCs/>
          <w:sz w:val="24"/>
          <w:szCs w:val="24"/>
        </w:rPr>
        <w:t>BAB II</w:t>
      </w:r>
    </w:p>
    <w:p>
      <w:pPr>
        <w:spacing w:after="0" w:line="360" w:lineRule="auto"/>
        <w:jc w:val="center"/>
        <w:rPr>
          <w:rFonts w:hint="default" w:ascii="Cambria" w:hAnsi="Cambria" w:cs="Cambria"/>
          <w:b/>
          <w:bCs/>
          <w:sz w:val="24"/>
          <w:szCs w:val="24"/>
        </w:rPr>
      </w:pPr>
      <w:r>
        <w:rPr>
          <w:rFonts w:hint="default" w:ascii="Cambria" w:hAnsi="Cambria" w:cs="Cambria"/>
          <w:b/>
          <w:bCs/>
          <w:sz w:val="24"/>
          <w:szCs w:val="24"/>
        </w:rPr>
        <w:t>PERENCANANAAN DAN PERJANJIAN KINERJA</w:t>
      </w:r>
    </w:p>
    <w:p>
      <w:pPr>
        <w:spacing w:after="0" w:line="360" w:lineRule="auto"/>
        <w:jc w:val="center"/>
        <w:rPr>
          <w:rFonts w:hint="default" w:ascii="Cambria" w:hAnsi="Cambria" w:cs="Cambria"/>
          <w:b/>
          <w:bCs/>
          <w:sz w:val="24"/>
          <w:szCs w:val="24"/>
        </w:rPr>
      </w:pPr>
    </w:p>
    <w:p>
      <w:pPr>
        <w:pStyle w:val="13"/>
        <w:numPr>
          <w:ilvl w:val="3"/>
          <w:numId w:val="23"/>
        </w:numPr>
        <w:spacing w:after="0" w:line="360" w:lineRule="auto"/>
        <w:ind w:left="426" w:hanging="426"/>
        <w:rPr>
          <w:rFonts w:hint="default" w:ascii="Cambria" w:hAnsi="Cambria" w:cs="Cambria"/>
          <w:b/>
          <w:sz w:val="24"/>
          <w:szCs w:val="24"/>
        </w:rPr>
      </w:pPr>
      <w:r>
        <w:rPr>
          <w:rFonts w:hint="default" w:ascii="Cambria" w:hAnsi="Cambria" w:cs="Cambria"/>
          <w:b/>
          <w:sz w:val="24"/>
          <w:szCs w:val="24"/>
        </w:rPr>
        <w:t>RENCANA STRATEGIS</w:t>
      </w:r>
    </w:p>
    <w:p>
      <w:pPr>
        <w:pStyle w:val="13"/>
        <w:spacing w:after="0" w:line="360" w:lineRule="auto"/>
        <w:ind w:left="426" w:firstLine="992"/>
        <w:jc w:val="both"/>
        <w:rPr>
          <w:rFonts w:hint="default" w:ascii="Cambria" w:hAnsi="Cambria" w:cs="Cambria"/>
          <w:color w:val="000000" w:themeColor="text1"/>
          <w:sz w:val="24"/>
          <w:szCs w:val="24"/>
          <w14:textFill>
            <w14:solidFill>
              <w14:schemeClr w14:val="tx1"/>
            </w14:solidFill>
          </w14:textFill>
        </w:rPr>
      </w:pPr>
      <w:r>
        <w:rPr>
          <w:rFonts w:hint="default" w:ascii="Cambria" w:hAnsi="Cambria" w:cs="Cambria"/>
          <w:color w:val="000000" w:themeColor="text1"/>
          <w:sz w:val="24"/>
          <w:szCs w:val="24"/>
          <w14:textFill>
            <w14:solidFill>
              <w14:schemeClr w14:val="tx1"/>
            </w14:solidFill>
          </w14:textFill>
        </w:rPr>
        <w:t>Mengacu pada arah kebijakan RPJMD Kabupaten Kepulauan Selayar Tahun 2021-2026, dinamika lingkungan strategis, aspirasi masyarakat dan pemerintah Kepulauan Selayar, serta visi misi Bupati/Wakil Bupati, maka ditetapkan  Visi  Pembangunan  Kabupaten  Kepulauan Selayar dalam RPJMD 2021-2026 sebagai gambaran realitas masa depan yang ingin dituju dalam kurun waktu 5 tahun ke depan.</w:t>
      </w:r>
    </w:p>
    <w:p>
      <w:pPr>
        <w:pStyle w:val="13"/>
        <w:numPr>
          <w:ilvl w:val="0"/>
          <w:numId w:val="27"/>
        </w:numPr>
        <w:spacing w:after="0" w:line="360" w:lineRule="auto"/>
        <w:ind w:left="851" w:hanging="425"/>
        <w:jc w:val="both"/>
        <w:rPr>
          <w:rFonts w:hint="default" w:ascii="Cambria" w:hAnsi="Cambria" w:cs="Cambria"/>
          <w:b/>
          <w:sz w:val="24"/>
          <w:szCs w:val="24"/>
        </w:rPr>
      </w:pPr>
      <w:r>
        <w:rPr>
          <w:rFonts w:hint="default" w:ascii="Cambria" w:hAnsi="Cambria" w:cs="Cambria"/>
          <w:b/>
          <w:sz w:val="24"/>
          <w:szCs w:val="24"/>
        </w:rPr>
        <w:t>Visi</w:t>
      </w:r>
    </w:p>
    <w:p>
      <w:pPr>
        <w:pStyle w:val="13"/>
        <w:spacing w:after="0" w:line="360" w:lineRule="auto"/>
        <w:ind w:left="851" w:firstLine="850"/>
        <w:jc w:val="both"/>
        <w:rPr>
          <w:rFonts w:hint="default" w:ascii="Cambria" w:hAnsi="Cambria" w:cs="Cambria"/>
          <w:color w:val="auto"/>
          <w:sz w:val="24"/>
          <w:szCs w:val="24"/>
          <w:lang w:val="fi-FI"/>
        </w:rPr>
      </w:pPr>
      <w:r>
        <w:rPr>
          <w:rFonts w:hint="default" w:ascii="Cambria" w:hAnsi="Cambria" w:cs="Cambria"/>
          <w:sz w:val="24"/>
          <w:szCs w:val="24"/>
          <w:lang w:val="fi-FI"/>
        </w:rPr>
        <w:t xml:space="preserve">Visi merupakan cara pandang jauh ke depan sebagai sebuah gambaran kemana suatu instansi/organisasi harus dibawa agar tetap eksis, antisipatif dan inovatif serta mampu memberikan harapan bagi semua komponen instansi/ organisasi. Sejalan dengan visi Pemerintah Kabupaten Kepulauan Selayar  yaitu </w:t>
      </w:r>
      <w:r>
        <w:rPr>
          <w:rFonts w:hint="default" w:ascii="Cambria" w:hAnsi="Cambria" w:cs="Cambria"/>
          <w:color w:val="auto"/>
          <w:sz w:val="24"/>
          <w:szCs w:val="24"/>
          <w:lang w:val="fi-FI"/>
        </w:rPr>
        <w:t xml:space="preserve"> </w:t>
      </w:r>
      <w:r>
        <w:rPr>
          <w:rFonts w:hint="default" w:ascii="Cambria" w:hAnsi="Cambria" w:cs="Cambria"/>
          <w:b/>
          <w:color w:val="auto"/>
          <w:sz w:val="24"/>
          <w:szCs w:val="24"/>
        </w:rPr>
        <w:t>“Kepulauan Selayar sebagai Bandar Maritim Kawasan Timur Indonesia”.</w:t>
      </w:r>
      <w:r>
        <w:rPr>
          <w:rFonts w:hint="default" w:ascii="Cambria" w:hAnsi="Cambria" w:cs="Cambria"/>
          <w:color w:val="auto"/>
          <w:sz w:val="24"/>
          <w:szCs w:val="24"/>
          <w:lang w:val="fi-FI"/>
        </w:rPr>
        <w:t xml:space="preserve"> </w:t>
      </w:r>
    </w:p>
    <w:p>
      <w:pPr>
        <w:pStyle w:val="13"/>
        <w:spacing w:after="0" w:line="360" w:lineRule="auto"/>
        <w:ind w:left="851" w:firstLine="850"/>
        <w:jc w:val="both"/>
        <w:rPr>
          <w:rFonts w:hint="default" w:ascii="Cambria" w:hAnsi="Cambria" w:cs="Cambria"/>
          <w:color w:val="auto"/>
          <w:sz w:val="24"/>
          <w:szCs w:val="24"/>
        </w:rPr>
      </w:pPr>
      <w:r>
        <w:rPr>
          <w:rFonts w:hint="default" w:ascii="Cambria" w:hAnsi="Cambria" w:cs="Cambria"/>
          <w:color w:val="auto"/>
          <w:sz w:val="24"/>
          <w:szCs w:val="24"/>
        </w:rPr>
        <w:t>“</w:t>
      </w:r>
      <w:r>
        <w:rPr>
          <w:rFonts w:hint="default" w:ascii="Cambria" w:hAnsi="Cambria" w:cs="Cambria"/>
          <w:b/>
          <w:color w:val="auto"/>
          <w:sz w:val="24"/>
          <w:szCs w:val="24"/>
        </w:rPr>
        <w:t>Bandar Maritim Kawasan Timur Indonesia</w:t>
      </w:r>
      <w:r>
        <w:rPr>
          <w:rFonts w:hint="default" w:ascii="Cambria" w:hAnsi="Cambria" w:cs="Cambria"/>
          <w:color w:val="auto"/>
          <w:sz w:val="24"/>
          <w:szCs w:val="24"/>
        </w:rPr>
        <w:t xml:space="preserve">” mengandung dua pengertian kondisi, pertama sebagai Bandar maritim adalah seluruh kegiatan yang berhubungan dengan kepelabuhanan yang memiliki kawasan khusus untuk melayani penumpang dan bongkar/muat barang, serta perdagangan barang, jasa dan industri. Yang kedua sebagai Kawasan Timur Indonesia menunjukkan bahwa berada pada Kawasan Timur Indonesia dengan jaringan (hub) perdagangan barang/jasa, industri, dan distribusi logistik yang mencakup Kabupaten / Kota pada wilayah Teluk Bone, Sulawesi Tenggara, Sulawesi Tengah Bagian Timur, Maluku dan Maluku Utara.  </w:t>
      </w:r>
    </w:p>
    <w:p>
      <w:pPr>
        <w:pStyle w:val="13"/>
        <w:spacing w:after="0" w:line="360" w:lineRule="auto"/>
        <w:ind w:left="851" w:firstLine="850"/>
        <w:jc w:val="both"/>
        <w:rPr>
          <w:rFonts w:hint="default" w:ascii="Cambria" w:hAnsi="Cambria" w:cs="Cambria"/>
          <w:color w:val="C0504D" w:themeColor="accent2"/>
          <w:sz w:val="24"/>
          <w:szCs w:val="24"/>
          <w14:textFill>
            <w14:solidFill>
              <w14:schemeClr w14:val="accent2"/>
            </w14:solidFill>
          </w14:textFill>
        </w:rPr>
      </w:pPr>
    </w:p>
    <w:p>
      <w:pPr>
        <w:pStyle w:val="13"/>
        <w:spacing w:after="0" w:line="360" w:lineRule="auto"/>
        <w:ind w:left="851" w:firstLine="850"/>
        <w:jc w:val="both"/>
        <w:rPr>
          <w:rFonts w:hint="default" w:ascii="Cambria" w:hAnsi="Cambria" w:cs="Cambria"/>
          <w:color w:val="C0504D" w:themeColor="accent2"/>
          <w:sz w:val="24"/>
          <w:szCs w:val="24"/>
          <w14:textFill>
            <w14:solidFill>
              <w14:schemeClr w14:val="accent2"/>
            </w14:solidFill>
          </w14:textFill>
        </w:rPr>
      </w:pPr>
    </w:p>
    <w:p>
      <w:pPr>
        <w:pStyle w:val="13"/>
        <w:spacing w:after="0" w:line="360" w:lineRule="auto"/>
        <w:ind w:left="851" w:firstLine="850"/>
        <w:jc w:val="both"/>
        <w:rPr>
          <w:rFonts w:hint="default" w:ascii="Cambria" w:hAnsi="Cambria" w:cs="Cambria"/>
          <w:color w:val="C0504D" w:themeColor="accent2"/>
          <w:sz w:val="24"/>
          <w:szCs w:val="24"/>
          <w14:textFill>
            <w14:solidFill>
              <w14:schemeClr w14:val="accent2"/>
            </w14:solidFill>
          </w14:textFill>
        </w:rPr>
      </w:pPr>
    </w:p>
    <w:p>
      <w:pPr>
        <w:pStyle w:val="13"/>
        <w:spacing w:after="0" w:line="360" w:lineRule="auto"/>
        <w:ind w:left="851" w:firstLine="850"/>
        <w:jc w:val="both"/>
        <w:rPr>
          <w:rFonts w:hint="default" w:ascii="Cambria" w:hAnsi="Cambria" w:cs="Cambria"/>
          <w:color w:val="C0504D" w:themeColor="accent2"/>
          <w:sz w:val="24"/>
          <w:szCs w:val="24"/>
          <w14:textFill>
            <w14:solidFill>
              <w14:schemeClr w14:val="accent2"/>
            </w14:solidFill>
          </w14:textFill>
        </w:rPr>
      </w:pPr>
    </w:p>
    <w:p>
      <w:pPr>
        <w:pStyle w:val="13"/>
        <w:numPr>
          <w:ilvl w:val="0"/>
          <w:numId w:val="27"/>
        </w:numPr>
        <w:spacing w:after="0" w:line="360" w:lineRule="auto"/>
        <w:ind w:left="851" w:hanging="425"/>
        <w:jc w:val="both"/>
        <w:rPr>
          <w:rFonts w:hint="default" w:ascii="Cambria" w:hAnsi="Cambria" w:cs="Cambria"/>
          <w:b/>
          <w:sz w:val="24"/>
          <w:szCs w:val="24"/>
        </w:rPr>
      </w:pPr>
      <w:r>
        <w:rPr>
          <w:rFonts w:hint="default" w:ascii="Cambria" w:hAnsi="Cambria" w:cs="Cambria"/>
          <w:b/>
          <w:sz w:val="24"/>
          <w:szCs w:val="24"/>
        </w:rPr>
        <w:t>Misi</w:t>
      </w:r>
    </w:p>
    <w:p>
      <w:pPr>
        <w:pStyle w:val="13"/>
        <w:spacing w:after="0" w:line="360" w:lineRule="auto"/>
        <w:ind w:left="851" w:firstLine="850"/>
        <w:jc w:val="both"/>
        <w:rPr>
          <w:rFonts w:hint="default" w:ascii="Cambria" w:hAnsi="Cambria" w:cs="Cambria"/>
          <w:b/>
          <w:color w:val="auto"/>
          <w:sz w:val="24"/>
          <w:szCs w:val="24"/>
        </w:rPr>
      </w:pPr>
      <w:r>
        <w:rPr>
          <w:rFonts w:hint="default" w:ascii="Cambria" w:hAnsi="Cambria" w:cs="Cambria"/>
          <w:b/>
          <w:bCs/>
          <w:i/>
          <w:iCs/>
          <w:color w:val="auto"/>
          <w:sz w:val="24"/>
          <w:szCs w:val="24"/>
        </w:rPr>
        <w:t xml:space="preserve">Misi </w:t>
      </w:r>
      <w:r>
        <w:rPr>
          <w:rFonts w:hint="default" w:ascii="Cambria" w:hAnsi="Cambria" w:cs="Cambria"/>
          <w:color w:val="auto"/>
          <w:sz w:val="24"/>
          <w:szCs w:val="24"/>
        </w:rPr>
        <w:t>Pemerintah Kabupaten Kepulauan Selayar 2021-2026 yang akan memberikan arah tujuan dan sasaran yang ingin dicapai adalah sebagai berikut :</w:t>
      </w:r>
    </w:p>
    <w:p>
      <w:pPr>
        <w:pStyle w:val="13"/>
        <w:numPr>
          <w:ilvl w:val="0"/>
          <w:numId w:val="28"/>
        </w:numPr>
        <w:autoSpaceDE w:val="0"/>
        <w:autoSpaceDN w:val="0"/>
        <w:adjustRightInd w:val="0"/>
        <w:spacing w:after="0"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rPr>
        <w:t>Mewujudkan Tata Kelola Pemerintahan yang Akuntabel dan transparan.</w:t>
      </w:r>
    </w:p>
    <w:p>
      <w:pPr>
        <w:pStyle w:val="13"/>
        <w:numPr>
          <w:ilvl w:val="0"/>
          <w:numId w:val="28"/>
        </w:numPr>
        <w:autoSpaceDE w:val="0"/>
        <w:autoSpaceDN w:val="0"/>
        <w:adjustRightInd w:val="0"/>
        <w:spacing w:after="0"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rPr>
        <w:t>Meningkatkan Kualitas Pembangunan Pedesaan.</w:t>
      </w:r>
    </w:p>
    <w:p>
      <w:pPr>
        <w:pStyle w:val="13"/>
        <w:numPr>
          <w:ilvl w:val="0"/>
          <w:numId w:val="28"/>
        </w:numPr>
        <w:autoSpaceDE w:val="0"/>
        <w:autoSpaceDN w:val="0"/>
        <w:adjustRightInd w:val="0"/>
        <w:spacing w:after="0"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rPr>
        <w:t>Meningkatkan Kualitas Hidup Masyarakat</w:t>
      </w:r>
    </w:p>
    <w:p>
      <w:pPr>
        <w:pStyle w:val="13"/>
        <w:numPr>
          <w:ilvl w:val="0"/>
          <w:numId w:val="28"/>
        </w:numPr>
        <w:autoSpaceDE w:val="0"/>
        <w:autoSpaceDN w:val="0"/>
        <w:adjustRightInd w:val="0"/>
        <w:spacing w:after="0"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rPr>
        <w:t>Mengembangkan Pengelolaan Potensi Kemaritiman.</w:t>
      </w:r>
    </w:p>
    <w:p>
      <w:pPr>
        <w:pStyle w:val="13"/>
        <w:numPr>
          <w:ilvl w:val="0"/>
          <w:numId w:val="28"/>
        </w:numPr>
        <w:autoSpaceDE w:val="0"/>
        <w:autoSpaceDN w:val="0"/>
        <w:adjustRightInd w:val="0"/>
        <w:spacing w:before="240" w:after="0"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rPr>
        <w:t>Meningkatkan Pembinanaan Kehidupan Sosial dan Keagamaan</w:t>
      </w:r>
    </w:p>
    <w:p>
      <w:pPr>
        <w:pStyle w:val="13"/>
        <w:numPr>
          <w:ilvl w:val="0"/>
          <w:numId w:val="28"/>
        </w:numPr>
        <w:autoSpaceDE w:val="0"/>
        <w:autoSpaceDN w:val="0"/>
        <w:adjustRightInd w:val="0"/>
        <w:spacing w:before="240" w:after="0"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rPr>
        <w:t>Meningkatkan Pengelolaan Lingkungan Hidup</w:t>
      </w:r>
    </w:p>
    <w:p>
      <w:pPr>
        <w:pStyle w:val="13"/>
        <w:autoSpaceDE w:val="0"/>
        <w:autoSpaceDN w:val="0"/>
        <w:adjustRightInd w:val="0"/>
        <w:spacing w:before="240" w:after="0" w:line="360" w:lineRule="auto"/>
        <w:ind w:left="1276"/>
        <w:jc w:val="both"/>
        <w:rPr>
          <w:rFonts w:hint="default" w:ascii="Cambria" w:hAnsi="Cambria" w:cs="Cambria"/>
          <w:sz w:val="24"/>
          <w:szCs w:val="24"/>
        </w:rPr>
      </w:pPr>
    </w:p>
    <w:p>
      <w:pPr>
        <w:pStyle w:val="13"/>
        <w:autoSpaceDE w:val="0"/>
        <w:autoSpaceDN w:val="0"/>
        <w:adjustRightInd w:val="0"/>
        <w:spacing w:before="240" w:after="0" w:line="360" w:lineRule="auto"/>
        <w:ind w:left="851" w:firstLine="850"/>
        <w:jc w:val="both"/>
        <w:rPr>
          <w:rFonts w:hint="default" w:ascii="Cambria" w:hAnsi="Cambria" w:cs="Cambria"/>
          <w:sz w:val="24"/>
          <w:szCs w:val="24"/>
        </w:rPr>
      </w:pPr>
      <w:r>
        <w:rPr>
          <w:rFonts w:hint="default" w:ascii="Cambria" w:hAnsi="Cambria" w:cs="Cambria"/>
          <w:sz w:val="24"/>
          <w:szCs w:val="24"/>
          <w:lang w:val="fi-FI"/>
        </w:rPr>
        <w:t xml:space="preserve">Dengan menyelaraskan pelaksanaan tugas pokok dan fungsinya maka dalam melaksanakan urusan yang menjadi kewenangan Dinas Perindustrian, Perdagangan, Koperasi dan UKM diatas mengandung arti :   </w:t>
      </w:r>
    </w:p>
    <w:p>
      <w:pPr>
        <w:pStyle w:val="13"/>
        <w:numPr>
          <w:ilvl w:val="0"/>
          <w:numId w:val="29"/>
        </w:numPr>
        <w:spacing w:after="0" w:line="360" w:lineRule="auto"/>
        <w:ind w:left="1276" w:hanging="425"/>
        <w:jc w:val="both"/>
        <w:rPr>
          <w:rFonts w:hint="default" w:ascii="Cambria" w:hAnsi="Cambria" w:cs="Cambria"/>
          <w:sz w:val="24"/>
          <w:szCs w:val="24"/>
          <w:lang w:val="fi-FI"/>
        </w:rPr>
      </w:pPr>
      <w:r>
        <w:rPr>
          <w:rFonts w:hint="default" w:ascii="Cambria" w:hAnsi="Cambria" w:cs="Cambria"/>
          <w:sz w:val="24"/>
          <w:szCs w:val="24"/>
          <w:lang w:val="fi-FI"/>
        </w:rPr>
        <w:t>Industri adalah meningkatkan kualitas produk industri kecil maupun menengah;</w:t>
      </w:r>
    </w:p>
    <w:p>
      <w:pPr>
        <w:pStyle w:val="13"/>
        <w:numPr>
          <w:ilvl w:val="0"/>
          <w:numId w:val="29"/>
        </w:numPr>
        <w:spacing w:after="0" w:line="360" w:lineRule="auto"/>
        <w:ind w:left="1276" w:hanging="425"/>
        <w:jc w:val="both"/>
        <w:rPr>
          <w:rFonts w:hint="default" w:ascii="Cambria" w:hAnsi="Cambria" w:cs="Cambria"/>
          <w:sz w:val="24"/>
          <w:szCs w:val="24"/>
          <w:lang w:val="fi-FI"/>
        </w:rPr>
      </w:pPr>
      <w:r>
        <w:rPr>
          <w:rFonts w:hint="default" w:ascii="Cambria" w:hAnsi="Cambria" w:cs="Cambria"/>
          <w:sz w:val="24"/>
          <w:szCs w:val="24"/>
          <w:lang w:val="fi-FI"/>
        </w:rPr>
        <w:t xml:space="preserve">Perdagangan adalah meningkatkan daya saing daerah; </w:t>
      </w:r>
    </w:p>
    <w:p>
      <w:pPr>
        <w:pStyle w:val="13"/>
        <w:numPr>
          <w:ilvl w:val="0"/>
          <w:numId w:val="29"/>
        </w:numPr>
        <w:spacing w:after="0" w:line="360" w:lineRule="auto"/>
        <w:ind w:left="1276" w:hanging="425"/>
        <w:jc w:val="both"/>
        <w:rPr>
          <w:rFonts w:hint="default" w:ascii="Cambria" w:hAnsi="Cambria" w:cs="Cambria"/>
          <w:sz w:val="24"/>
          <w:szCs w:val="24"/>
          <w:lang w:val="fi-FI"/>
        </w:rPr>
      </w:pPr>
      <w:r>
        <w:rPr>
          <w:rFonts w:hint="default" w:ascii="Cambria" w:hAnsi="Cambria" w:cs="Cambria"/>
          <w:sz w:val="24"/>
          <w:szCs w:val="24"/>
          <w:lang w:val="fi-FI"/>
        </w:rPr>
        <w:t xml:space="preserve">Koperasi adalah meningkatkan kualitas dan kuantitas Koperasi; </w:t>
      </w:r>
    </w:p>
    <w:p>
      <w:pPr>
        <w:pStyle w:val="13"/>
        <w:numPr>
          <w:ilvl w:val="0"/>
          <w:numId w:val="29"/>
        </w:numPr>
        <w:spacing w:after="0" w:line="360" w:lineRule="auto"/>
        <w:ind w:left="1276" w:hanging="425"/>
        <w:jc w:val="both"/>
        <w:rPr>
          <w:rFonts w:hint="default" w:ascii="Cambria" w:hAnsi="Cambria" w:cs="Cambria"/>
          <w:sz w:val="24"/>
          <w:szCs w:val="24"/>
          <w:lang w:val="fi-FI"/>
        </w:rPr>
      </w:pPr>
      <w:r>
        <w:rPr>
          <w:rFonts w:hint="default" w:ascii="Cambria" w:hAnsi="Cambria" w:cs="Cambria"/>
          <w:sz w:val="24"/>
          <w:szCs w:val="24"/>
          <w:lang w:val="fi-FI"/>
        </w:rPr>
        <w:t>Usaha Kecil Menengah, adalah menumbuhkembangkan UKM/pedagang kaki lima sebagai ujung tombak perekonomian yang berbasis ekonomi dan kerakyatan.</w:t>
      </w:r>
    </w:p>
    <w:p>
      <w:pPr>
        <w:pStyle w:val="13"/>
        <w:numPr>
          <w:ilvl w:val="0"/>
          <w:numId w:val="29"/>
        </w:numPr>
        <w:spacing w:after="0" w:line="360" w:lineRule="auto"/>
        <w:ind w:left="1276" w:hanging="425"/>
        <w:jc w:val="both"/>
        <w:rPr>
          <w:rFonts w:hint="default" w:ascii="Cambria" w:hAnsi="Cambria" w:cs="Cambria"/>
          <w:sz w:val="24"/>
          <w:szCs w:val="24"/>
          <w:lang w:val="fi-FI"/>
        </w:rPr>
      </w:pPr>
      <w:r>
        <w:rPr>
          <w:rFonts w:hint="default" w:ascii="Cambria" w:hAnsi="Cambria" w:cs="Cambria"/>
          <w:sz w:val="24"/>
          <w:szCs w:val="24"/>
          <w:lang w:val="fi-FI"/>
        </w:rPr>
        <w:t>Kemeterologian dan Perlindungan Konsumen, adalah memberikan pembinaan dan pengawasan kepada pelaku usaha sesuai dengan peraturan perundang-undangan.</w:t>
      </w:r>
    </w:p>
    <w:p>
      <w:pPr>
        <w:pStyle w:val="13"/>
        <w:numPr>
          <w:ilvl w:val="0"/>
          <w:numId w:val="27"/>
        </w:numPr>
        <w:spacing w:after="0" w:line="360" w:lineRule="auto"/>
        <w:ind w:left="851" w:hanging="425"/>
        <w:jc w:val="both"/>
        <w:rPr>
          <w:rFonts w:hint="default" w:ascii="Cambria" w:hAnsi="Cambria" w:cs="Cambria"/>
          <w:b/>
          <w:sz w:val="24"/>
          <w:szCs w:val="24"/>
        </w:rPr>
      </w:pPr>
      <w:r>
        <w:rPr>
          <w:rFonts w:hint="default" w:ascii="Cambria" w:hAnsi="Cambria" w:cs="Cambria"/>
          <w:b/>
          <w:sz w:val="24"/>
          <w:szCs w:val="24"/>
        </w:rPr>
        <w:t>Tujuan dan Sasaran</w:t>
      </w:r>
    </w:p>
    <w:p>
      <w:pPr>
        <w:pStyle w:val="13"/>
        <w:spacing w:after="0" w:line="360" w:lineRule="auto"/>
        <w:ind w:left="851" w:firstLine="850"/>
        <w:jc w:val="both"/>
        <w:rPr>
          <w:rFonts w:hint="default" w:ascii="Cambria" w:hAnsi="Cambria" w:cs="Cambria"/>
          <w:b/>
          <w:sz w:val="24"/>
          <w:szCs w:val="24"/>
        </w:rPr>
      </w:pPr>
      <w:r>
        <w:rPr>
          <w:rFonts w:hint="default" w:ascii="Cambria" w:hAnsi="Cambria" w:cs="Cambria"/>
          <w:sz w:val="24"/>
          <w:szCs w:val="24"/>
        </w:rPr>
        <w:t xml:space="preserve">Dengan berlandaskan misi yang telah ditetapkan, maka Pemerintah Daerah Kabupaten Kepulauan Selayar untuk masa tahun </w:t>
      </w:r>
      <w:r>
        <w:rPr>
          <w:rFonts w:hint="default" w:ascii="Cambria" w:hAnsi="Cambria" w:cs="Cambria"/>
          <w:color w:val="auto"/>
          <w:sz w:val="24"/>
          <w:szCs w:val="24"/>
        </w:rPr>
        <w:t>2021-2026</w:t>
      </w:r>
      <w:r>
        <w:rPr>
          <w:rFonts w:hint="default" w:ascii="Cambria" w:hAnsi="Cambria" w:cs="Cambria"/>
          <w:sz w:val="24"/>
          <w:szCs w:val="24"/>
        </w:rPr>
        <w:t xml:space="preserve"> menetapkan tujuan sebagai berikut :</w:t>
      </w:r>
    </w:p>
    <w:p>
      <w:pPr>
        <w:pStyle w:val="13"/>
        <w:numPr>
          <w:ilvl w:val="0"/>
          <w:numId w:val="30"/>
        </w:numPr>
        <w:spacing w:after="0" w:line="360" w:lineRule="auto"/>
        <w:ind w:left="1276" w:hanging="425"/>
        <w:jc w:val="both"/>
        <w:rPr>
          <w:rFonts w:hint="default" w:ascii="Cambria" w:hAnsi="Cambria" w:cs="Cambria"/>
          <w:b/>
          <w:sz w:val="24"/>
          <w:szCs w:val="24"/>
        </w:rPr>
      </w:pPr>
      <w:r>
        <w:rPr>
          <w:rFonts w:hint="default" w:ascii="Cambria" w:hAnsi="Cambria" w:cs="Cambria"/>
          <w:sz w:val="24"/>
          <w:szCs w:val="24"/>
        </w:rPr>
        <w:t>Mewujudkan Reformasi dan Birokrasi Daerah</w:t>
      </w:r>
    </w:p>
    <w:p>
      <w:pPr>
        <w:pStyle w:val="13"/>
        <w:numPr>
          <w:ilvl w:val="0"/>
          <w:numId w:val="30"/>
        </w:numPr>
        <w:spacing w:after="0" w:line="360" w:lineRule="auto"/>
        <w:ind w:left="1276" w:hanging="425"/>
        <w:jc w:val="both"/>
        <w:rPr>
          <w:rFonts w:hint="default" w:ascii="Cambria" w:hAnsi="Cambria" w:cs="Cambria"/>
          <w:b/>
          <w:sz w:val="24"/>
          <w:szCs w:val="24"/>
        </w:rPr>
      </w:pPr>
      <w:r>
        <w:rPr>
          <w:rFonts w:hint="default" w:ascii="Cambria" w:hAnsi="Cambria" w:cs="Cambria"/>
          <w:sz w:val="24"/>
          <w:szCs w:val="24"/>
        </w:rPr>
        <w:t>Meningkatkan Keberdayaan Masyarakat Pedesaan.</w:t>
      </w:r>
    </w:p>
    <w:p>
      <w:pPr>
        <w:pStyle w:val="13"/>
        <w:numPr>
          <w:ilvl w:val="0"/>
          <w:numId w:val="30"/>
        </w:numPr>
        <w:spacing w:after="0" w:line="360" w:lineRule="auto"/>
        <w:ind w:left="1276" w:hanging="425"/>
        <w:jc w:val="both"/>
        <w:rPr>
          <w:rFonts w:hint="default" w:ascii="Cambria" w:hAnsi="Cambria" w:cs="Cambria"/>
          <w:b/>
          <w:sz w:val="24"/>
          <w:szCs w:val="24"/>
        </w:rPr>
      </w:pPr>
      <w:r>
        <w:rPr>
          <w:rFonts w:hint="default" w:ascii="Cambria" w:hAnsi="Cambria" w:cs="Cambria"/>
          <w:sz w:val="24"/>
          <w:szCs w:val="24"/>
        </w:rPr>
        <w:t>Meningkatkan Fasilitas Pembangunan Sumber Daya Manusia.</w:t>
      </w:r>
    </w:p>
    <w:p>
      <w:pPr>
        <w:pStyle w:val="13"/>
        <w:numPr>
          <w:ilvl w:val="0"/>
          <w:numId w:val="30"/>
        </w:numPr>
        <w:spacing w:after="0" w:line="360" w:lineRule="auto"/>
        <w:ind w:left="1276" w:hanging="425"/>
        <w:jc w:val="both"/>
        <w:rPr>
          <w:rFonts w:hint="default" w:ascii="Cambria" w:hAnsi="Cambria" w:cs="Cambria"/>
          <w:b/>
          <w:sz w:val="24"/>
          <w:szCs w:val="24"/>
        </w:rPr>
      </w:pPr>
      <w:r>
        <w:rPr>
          <w:rFonts w:hint="default" w:ascii="Cambria" w:hAnsi="Cambria" w:cs="Cambria"/>
          <w:sz w:val="24"/>
          <w:szCs w:val="24"/>
        </w:rPr>
        <w:t xml:space="preserve">Mengoptimalkan pemanfaatan potensi kemaritiman </w:t>
      </w:r>
    </w:p>
    <w:p>
      <w:pPr>
        <w:pStyle w:val="13"/>
        <w:numPr>
          <w:ilvl w:val="0"/>
          <w:numId w:val="30"/>
        </w:numPr>
        <w:spacing w:after="0" w:line="360" w:lineRule="auto"/>
        <w:ind w:left="1276" w:hanging="425"/>
        <w:jc w:val="both"/>
        <w:rPr>
          <w:rFonts w:hint="default" w:ascii="Cambria" w:hAnsi="Cambria" w:cs="Cambria"/>
          <w:b/>
          <w:sz w:val="24"/>
          <w:szCs w:val="24"/>
        </w:rPr>
      </w:pPr>
      <w:r>
        <w:rPr>
          <w:rFonts w:hint="default" w:ascii="Cambria" w:hAnsi="Cambria" w:cs="Cambria"/>
          <w:sz w:val="24"/>
          <w:szCs w:val="24"/>
        </w:rPr>
        <w:t>Meningkatkan aktualisasi nilai budaya.</w:t>
      </w:r>
    </w:p>
    <w:p>
      <w:pPr>
        <w:pStyle w:val="13"/>
        <w:numPr>
          <w:ilvl w:val="0"/>
          <w:numId w:val="30"/>
        </w:numPr>
        <w:spacing w:after="0" w:line="360" w:lineRule="auto"/>
        <w:ind w:left="1276" w:hanging="425"/>
        <w:jc w:val="both"/>
        <w:rPr>
          <w:rFonts w:hint="default" w:ascii="Cambria" w:hAnsi="Cambria" w:cs="Cambria"/>
          <w:b/>
          <w:sz w:val="24"/>
          <w:szCs w:val="24"/>
        </w:rPr>
      </w:pPr>
      <w:r>
        <w:rPr>
          <w:rFonts w:hint="default" w:ascii="Cambria" w:hAnsi="Cambria" w:cs="Cambria"/>
          <w:sz w:val="24"/>
          <w:szCs w:val="24"/>
        </w:rPr>
        <w:t>Meningkatkan pelestarian lingkungan hidup</w:t>
      </w:r>
    </w:p>
    <w:p>
      <w:pPr>
        <w:pStyle w:val="19"/>
        <w:spacing w:line="360" w:lineRule="auto"/>
        <w:ind w:left="851" w:firstLine="992"/>
        <w:jc w:val="both"/>
        <w:rPr>
          <w:rFonts w:hint="default" w:ascii="Cambria" w:hAnsi="Cambria" w:cs="Cambria"/>
          <w:color w:val="auto"/>
          <w:sz w:val="24"/>
          <w:szCs w:val="24"/>
        </w:rPr>
      </w:pPr>
      <w:r>
        <w:rPr>
          <w:rFonts w:hint="default" w:ascii="Cambria" w:hAnsi="Cambria" w:cs="Cambria"/>
          <w:color w:val="auto"/>
          <w:sz w:val="24"/>
          <w:szCs w:val="24"/>
        </w:rPr>
        <w:t xml:space="preserve">Sasaran strategis Dinas Perindustrian, Perdagangan, Koperasi Usaha Kecil dan Menengah sebagai berikut : </w:t>
      </w:r>
      <w:r>
        <w:rPr>
          <w:rFonts w:hint="default" w:ascii="Cambria" w:hAnsi="Cambria" w:cs="Cambria"/>
          <w:color w:val="auto"/>
          <w:sz w:val="24"/>
          <w:szCs w:val="24"/>
        </w:rPr>
        <w:tab/>
      </w:r>
    </w:p>
    <w:p>
      <w:pPr>
        <w:pStyle w:val="19"/>
        <w:numPr>
          <w:ilvl w:val="0"/>
          <w:numId w:val="31"/>
        </w:numPr>
        <w:spacing w:line="360" w:lineRule="auto"/>
        <w:ind w:left="1276" w:hanging="425"/>
        <w:jc w:val="both"/>
        <w:rPr>
          <w:rFonts w:hint="default" w:ascii="Cambria" w:hAnsi="Cambria" w:cs="Cambria"/>
          <w:color w:val="auto"/>
          <w:sz w:val="24"/>
          <w:szCs w:val="24"/>
        </w:rPr>
      </w:pPr>
      <w:r>
        <w:rPr>
          <w:rFonts w:hint="default" w:ascii="Cambria" w:hAnsi="Cambria" w:cs="Cambria"/>
          <w:sz w:val="24"/>
          <w:szCs w:val="24"/>
        </w:rPr>
        <w:t>Meningkatnya kualitas pemerintahan daerah yang bersih dan akuntabel, efektif dan efisien.</w:t>
      </w:r>
    </w:p>
    <w:p>
      <w:pPr>
        <w:pStyle w:val="19"/>
        <w:numPr>
          <w:ilvl w:val="0"/>
          <w:numId w:val="31"/>
        </w:numPr>
        <w:spacing w:line="360" w:lineRule="auto"/>
        <w:ind w:left="1276" w:hanging="425"/>
        <w:jc w:val="both"/>
        <w:rPr>
          <w:rFonts w:hint="default" w:ascii="Cambria" w:hAnsi="Cambria" w:cs="Cambria"/>
          <w:color w:val="auto"/>
          <w:sz w:val="24"/>
          <w:szCs w:val="24"/>
        </w:rPr>
      </w:pPr>
      <w:r>
        <w:rPr>
          <w:rFonts w:hint="default" w:ascii="Cambria" w:hAnsi="Cambria" w:cs="Cambria"/>
          <w:sz w:val="24"/>
          <w:szCs w:val="24"/>
        </w:rPr>
        <w:t>Meningkatnya kualitas pelayanan publik.</w:t>
      </w:r>
    </w:p>
    <w:p>
      <w:pPr>
        <w:pStyle w:val="19"/>
        <w:numPr>
          <w:ilvl w:val="0"/>
          <w:numId w:val="31"/>
        </w:numPr>
        <w:spacing w:line="360" w:lineRule="auto"/>
        <w:ind w:left="1276" w:hanging="425"/>
        <w:jc w:val="both"/>
        <w:rPr>
          <w:rFonts w:hint="default" w:ascii="Cambria" w:hAnsi="Cambria" w:cs="Cambria"/>
          <w:color w:val="auto"/>
          <w:sz w:val="24"/>
          <w:szCs w:val="24"/>
        </w:rPr>
      </w:pPr>
      <w:r>
        <w:rPr>
          <w:rFonts w:hint="default" w:ascii="Cambria" w:hAnsi="Cambria" w:cs="Cambria"/>
          <w:sz w:val="24"/>
          <w:szCs w:val="24"/>
        </w:rPr>
        <w:t>Berkurangnya penduduk miskin dan meningkatnya daya beli masyarakat.</w:t>
      </w:r>
    </w:p>
    <w:p>
      <w:pPr>
        <w:pStyle w:val="19"/>
        <w:numPr>
          <w:ilvl w:val="0"/>
          <w:numId w:val="31"/>
        </w:numPr>
        <w:spacing w:line="360" w:lineRule="auto"/>
        <w:ind w:left="1276" w:hanging="425"/>
        <w:jc w:val="both"/>
        <w:rPr>
          <w:rFonts w:hint="default" w:ascii="Cambria" w:hAnsi="Cambria" w:cs="Cambria"/>
          <w:color w:val="auto"/>
          <w:sz w:val="24"/>
          <w:szCs w:val="24"/>
        </w:rPr>
      </w:pPr>
      <w:r>
        <w:rPr>
          <w:rFonts w:hint="default" w:ascii="Cambria" w:hAnsi="Cambria" w:cs="Cambria"/>
          <w:sz w:val="24"/>
          <w:szCs w:val="24"/>
        </w:rPr>
        <w:t xml:space="preserve">Meningkatnya kunjungan wisatawan </w:t>
      </w:r>
    </w:p>
    <w:p>
      <w:pPr>
        <w:pStyle w:val="19"/>
        <w:numPr>
          <w:ilvl w:val="0"/>
          <w:numId w:val="31"/>
        </w:numPr>
        <w:spacing w:line="360" w:lineRule="auto"/>
        <w:ind w:left="1276" w:hanging="425"/>
        <w:jc w:val="both"/>
        <w:rPr>
          <w:rFonts w:hint="default" w:ascii="Cambria" w:hAnsi="Cambria" w:cs="Cambria"/>
          <w:color w:val="auto"/>
          <w:sz w:val="24"/>
          <w:szCs w:val="24"/>
        </w:rPr>
      </w:pPr>
      <w:r>
        <w:rPr>
          <w:rFonts w:hint="default" w:ascii="Cambria" w:hAnsi="Cambria" w:cs="Cambria"/>
          <w:sz w:val="24"/>
          <w:szCs w:val="24"/>
        </w:rPr>
        <w:t>Terbangun dan berkembangnya kawasan distribusi logistik (barang dan jasa).</w:t>
      </w:r>
    </w:p>
    <w:p>
      <w:pPr>
        <w:pStyle w:val="19"/>
        <w:numPr>
          <w:ilvl w:val="0"/>
          <w:numId w:val="31"/>
        </w:numPr>
        <w:spacing w:line="360" w:lineRule="auto"/>
        <w:ind w:left="1276" w:hanging="425"/>
        <w:jc w:val="both"/>
        <w:rPr>
          <w:rFonts w:hint="default" w:ascii="Cambria" w:hAnsi="Cambria" w:cs="Cambria"/>
          <w:color w:val="auto"/>
          <w:sz w:val="24"/>
          <w:szCs w:val="24"/>
        </w:rPr>
      </w:pPr>
      <w:r>
        <w:rPr>
          <w:rFonts w:hint="default" w:ascii="Cambria" w:hAnsi="Cambria" w:cs="Cambria"/>
          <w:sz w:val="24"/>
          <w:szCs w:val="24"/>
        </w:rPr>
        <w:t>Meningkatnya daya saing dan produktivitas ekonomi kerakyatan.</w:t>
      </w:r>
    </w:p>
    <w:p>
      <w:pPr>
        <w:tabs>
          <w:tab w:val="left" w:pos="851"/>
          <w:tab w:val="left" w:pos="2127"/>
        </w:tabs>
        <w:autoSpaceDE w:val="0"/>
        <w:autoSpaceDN w:val="0"/>
        <w:adjustRightInd w:val="0"/>
        <w:spacing w:after="0" w:line="360" w:lineRule="auto"/>
        <w:jc w:val="center"/>
        <w:rPr>
          <w:rFonts w:hint="default" w:ascii="Cambria" w:hAnsi="Cambria" w:cs="Cambria"/>
          <w:sz w:val="24"/>
          <w:szCs w:val="24"/>
        </w:rPr>
      </w:pPr>
      <w:r>
        <w:rPr>
          <w:rFonts w:hint="default" w:ascii="Cambria" w:hAnsi="Cambria" w:cs="Cambria"/>
          <w:sz w:val="24"/>
          <w:szCs w:val="24"/>
        </w:rPr>
        <w:t>Tabel 2.1</w:t>
      </w:r>
    </w:p>
    <w:p>
      <w:pPr>
        <w:tabs>
          <w:tab w:val="left" w:pos="851"/>
          <w:tab w:val="left" w:pos="2127"/>
        </w:tabs>
        <w:autoSpaceDE w:val="0"/>
        <w:autoSpaceDN w:val="0"/>
        <w:adjustRightInd w:val="0"/>
        <w:spacing w:after="0" w:line="360" w:lineRule="auto"/>
        <w:jc w:val="center"/>
        <w:rPr>
          <w:rFonts w:hint="default" w:ascii="Cambria" w:hAnsi="Cambria" w:cs="Cambria"/>
          <w:sz w:val="24"/>
          <w:szCs w:val="24"/>
        </w:rPr>
      </w:pPr>
      <w:r>
        <w:rPr>
          <w:rFonts w:hint="default" w:ascii="Cambria" w:hAnsi="Cambria" w:cs="Cambria"/>
          <w:sz w:val="24"/>
          <w:szCs w:val="24"/>
        </w:rPr>
        <w:t>Keterkaitan Visi, Misi, Tujuan, Sasaran Pembangunan Jangka Menengah</w:t>
      </w:r>
    </w:p>
    <w:p>
      <w:pPr>
        <w:tabs>
          <w:tab w:val="left" w:pos="851"/>
          <w:tab w:val="left" w:pos="2127"/>
        </w:tabs>
        <w:autoSpaceDE w:val="0"/>
        <w:autoSpaceDN w:val="0"/>
        <w:adjustRightInd w:val="0"/>
        <w:spacing w:after="0" w:line="360" w:lineRule="auto"/>
        <w:jc w:val="center"/>
        <w:rPr>
          <w:rFonts w:hint="default" w:ascii="Cambria" w:hAnsi="Cambria" w:cs="Cambria"/>
          <w:sz w:val="24"/>
          <w:szCs w:val="24"/>
        </w:rPr>
      </w:pPr>
      <w:r>
        <w:rPr>
          <w:rFonts w:hint="default" w:ascii="Cambria" w:hAnsi="Cambria" w:cs="Cambria"/>
          <w:sz w:val="24"/>
          <w:szCs w:val="24"/>
        </w:rPr>
        <w:t>Dinas perindustrian,Perdagangan, Koperasi Usaha Kecil dan Menengah Tahun 2021-2026</w:t>
      </w:r>
    </w:p>
    <w:tbl>
      <w:tblPr>
        <w:tblStyle w:val="20"/>
        <w:tblpPr w:leftFromText="180" w:rightFromText="180" w:vertAnchor="text" w:horzAnchor="page" w:tblpX="1195" w:tblpY="472"/>
        <w:tblOverlap w:val="never"/>
        <w:tblW w:w="10016" w:type="dxa"/>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fixed"/>
        <w:tblCellMar>
          <w:top w:w="0" w:type="dxa"/>
          <w:left w:w="108" w:type="dxa"/>
          <w:bottom w:w="0" w:type="dxa"/>
          <w:right w:w="108" w:type="dxa"/>
        </w:tblCellMar>
      </w:tblPr>
      <w:tblGrid>
        <w:gridCol w:w="595"/>
        <w:gridCol w:w="1206"/>
        <w:gridCol w:w="1409"/>
        <w:gridCol w:w="1485"/>
        <w:gridCol w:w="2250"/>
        <w:gridCol w:w="1980"/>
        <w:gridCol w:w="1091"/>
      </w:tblGrid>
      <w:tr>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827" w:hRule="atLeast"/>
        </w:trPr>
        <w:tc>
          <w:tcPr>
            <w:tcW w:w="595" w:type="dxa"/>
            <w:tcBorders>
              <w:top w:val="single" w:color="FFFFFF" w:themeColor="background1" w:sz="4" w:space="0"/>
              <w:left w:val="single" w:color="FFFFFF" w:themeColor="background1" w:sz="4" w:space="0"/>
              <w:right w:val="nil"/>
              <w:insideV w:val="nil"/>
            </w:tcBorders>
            <w:shd w:val="clear" w:color="auto" w:fill="9BBB59" w:themeFill="accent3"/>
            <w:noWrap/>
          </w:tcPr>
          <w:p>
            <w:pPr>
              <w:spacing w:after="0" w:line="240" w:lineRule="auto"/>
              <w:jc w:val="center"/>
              <w:rPr>
                <w:rFonts w:hint="default" w:ascii="Cambria" w:hAnsi="Cambria" w:eastAsia="Times New Roman" w:cs="Cambria"/>
                <w:b w:val="0"/>
                <w:bCs/>
                <w:color w:val="000000"/>
                <w:sz w:val="20"/>
                <w:szCs w:val="20"/>
                <w:lang w:val="id-ID" w:eastAsia="id-ID"/>
              </w:rPr>
            </w:pPr>
          </w:p>
          <w:p>
            <w:pPr>
              <w:spacing w:after="0" w:line="240" w:lineRule="auto"/>
              <w:jc w:val="center"/>
              <w:rPr>
                <w:rFonts w:hint="default" w:ascii="Cambria" w:hAnsi="Cambria" w:eastAsia="Times New Roman" w:cs="Cambria"/>
                <w:b w:val="0"/>
                <w:bCs/>
                <w:color w:val="000000"/>
                <w:sz w:val="20"/>
                <w:szCs w:val="20"/>
                <w:lang w:val="id-ID" w:eastAsia="id-ID"/>
              </w:rPr>
            </w:pPr>
            <w:r>
              <w:rPr>
                <w:rFonts w:hint="default" w:ascii="Cambria" w:hAnsi="Cambria" w:eastAsia="Times New Roman" w:cs="Cambria"/>
                <w:b/>
                <w:bCs w:val="0"/>
                <w:color w:val="000000"/>
                <w:sz w:val="20"/>
                <w:szCs w:val="20"/>
                <w:lang w:val="id-ID" w:eastAsia="id-ID"/>
              </w:rPr>
              <w:t>No</w:t>
            </w:r>
          </w:p>
          <w:p>
            <w:pPr>
              <w:spacing w:after="0" w:line="240" w:lineRule="auto"/>
              <w:jc w:val="center"/>
              <w:rPr>
                <w:rFonts w:hint="default" w:ascii="Cambria" w:hAnsi="Cambria" w:eastAsia="Times New Roman" w:cs="Cambria"/>
                <w:b w:val="0"/>
                <w:bCs/>
                <w:color w:val="000000"/>
                <w:sz w:val="20"/>
                <w:szCs w:val="20"/>
                <w:lang w:val="id-ID" w:eastAsia="id-ID"/>
              </w:rPr>
            </w:pPr>
          </w:p>
        </w:tc>
        <w:tc>
          <w:tcPr>
            <w:tcW w:w="1206" w:type="dxa"/>
            <w:tcBorders>
              <w:top w:val="single" w:color="FFFFFF" w:themeColor="background1" w:sz="4" w:space="0"/>
              <w:right w:val="nil"/>
              <w:insideV w:val="nil"/>
            </w:tcBorders>
            <w:shd w:val="clear" w:color="auto" w:fill="9BBB59" w:themeFill="accent3"/>
          </w:tcPr>
          <w:p>
            <w:pPr>
              <w:spacing w:after="0" w:line="240" w:lineRule="auto"/>
              <w:jc w:val="center"/>
              <w:rPr>
                <w:rFonts w:hint="default" w:ascii="Cambria" w:hAnsi="Cambria" w:eastAsia="Times New Roman" w:cs="Cambria"/>
                <w:b w:val="0"/>
                <w:bCs/>
                <w:color w:val="000000"/>
                <w:sz w:val="20"/>
                <w:szCs w:val="20"/>
                <w:lang w:val="id-ID" w:eastAsia="id-ID"/>
              </w:rPr>
            </w:pPr>
          </w:p>
          <w:p>
            <w:pPr>
              <w:spacing w:after="0" w:line="240" w:lineRule="auto"/>
              <w:jc w:val="center"/>
              <w:rPr>
                <w:rFonts w:hint="default" w:ascii="Cambria" w:hAnsi="Cambria" w:eastAsia="Times New Roman" w:cs="Cambria"/>
                <w:b w:val="0"/>
                <w:bCs/>
                <w:color w:val="000000"/>
                <w:sz w:val="20"/>
                <w:szCs w:val="20"/>
                <w:lang w:val="id-ID" w:eastAsia="id-ID"/>
              </w:rPr>
            </w:pPr>
            <w:r>
              <w:rPr>
                <w:rFonts w:hint="default" w:ascii="Cambria" w:hAnsi="Cambria" w:eastAsia="Times New Roman" w:cs="Cambria"/>
                <w:b/>
                <w:bCs w:val="0"/>
                <w:color w:val="000000"/>
                <w:sz w:val="20"/>
                <w:szCs w:val="20"/>
                <w:lang w:val="id-ID" w:eastAsia="id-ID"/>
              </w:rPr>
              <w:t>Visi</w:t>
            </w:r>
          </w:p>
        </w:tc>
        <w:tc>
          <w:tcPr>
            <w:tcW w:w="1409" w:type="dxa"/>
            <w:tcBorders>
              <w:top w:val="single" w:color="FFFFFF" w:themeColor="background1" w:sz="4" w:space="0"/>
              <w:right w:val="nil"/>
              <w:insideV w:val="nil"/>
            </w:tcBorders>
            <w:shd w:val="clear" w:color="auto" w:fill="9BBB59" w:themeFill="accent3"/>
          </w:tcPr>
          <w:p>
            <w:pPr>
              <w:spacing w:after="0" w:line="240" w:lineRule="auto"/>
              <w:jc w:val="center"/>
              <w:rPr>
                <w:rFonts w:hint="default" w:ascii="Cambria" w:hAnsi="Cambria" w:eastAsia="Times New Roman" w:cs="Cambria"/>
                <w:b w:val="0"/>
                <w:bCs/>
                <w:color w:val="000000"/>
                <w:sz w:val="20"/>
                <w:szCs w:val="20"/>
                <w:lang w:val="id-ID" w:eastAsia="id-ID"/>
              </w:rPr>
            </w:pPr>
          </w:p>
          <w:p>
            <w:pPr>
              <w:spacing w:after="0" w:line="240" w:lineRule="auto"/>
              <w:jc w:val="center"/>
              <w:rPr>
                <w:rFonts w:hint="default" w:ascii="Cambria" w:hAnsi="Cambria" w:eastAsia="Times New Roman" w:cs="Cambria"/>
                <w:b w:val="0"/>
                <w:bCs/>
                <w:color w:val="000000"/>
                <w:sz w:val="20"/>
                <w:szCs w:val="20"/>
                <w:lang w:val="id-ID" w:eastAsia="id-ID"/>
              </w:rPr>
            </w:pPr>
            <w:r>
              <w:rPr>
                <w:rFonts w:hint="default" w:ascii="Cambria" w:hAnsi="Cambria" w:eastAsia="Times New Roman" w:cs="Cambria"/>
                <w:b/>
                <w:bCs w:val="0"/>
                <w:color w:val="000000"/>
                <w:sz w:val="20"/>
                <w:szCs w:val="20"/>
                <w:lang w:val="id-ID" w:eastAsia="id-ID"/>
              </w:rPr>
              <w:t>Misi</w:t>
            </w:r>
          </w:p>
        </w:tc>
        <w:tc>
          <w:tcPr>
            <w:tcW w:w="1485" w:type="dxa"/>
            <w:tcBorders>
              <w:top w:val="single" w:color="FFFFFF" w:themeColor="background1" w:sz="4" w:space="0"/>
              <w:right w:val="nil"/>
              <w:insideV w:val="nil"/>
            </w:tcBorders>
            <w:shd w:val="clear" w:color="auto" w:fill="9BBB59" w:themeFill="accent3"/>
          </w:tcPr>
          <w:p>
            <w:pPr>
              <w:spacing w:after="0" w:line="240" w:lineRule="auto"/>
              <w:jc w:val="center"/>
              <w:rPr>
                <w:rFonts w:hint="default" w:ascii="Cambria" w:hAnsi="Cambria" w:eastAsia="Times New Roman" w:cs="Cambria"/>
                <w:b w:val="0"/>
                <w:bCs/>
                <w:color w:val="000000"/>
                <w:sz w:val="20"/>
                <w:szCs w:val="20"/>
                <w:lang w:val="id-ID" w:eastAsia="id-ID"/>
              </w:rPr>
            </w:pPr>
          </w:p>
          <w:p>
            <w:pPr>
              <w:spacing w:after="0" w:line="240" w:lineRule="auto"/>
              <w:jc w:val="center"/>
              <w:rPr>
                <w:rFonts w:hint="default" w:ascii="Cambria" w:hAnsi="Cambria" w:eastAsia="Times New Roman" w:cs="Cambria"/>
                <w:b w:val="0"/>
                <w:bCs/>
                <w:color w:val="000000"/>
                <w:sz w:val="20"/>
                <w:szCs w:val="20"/>
                <w:lang w:val="id-ID" w:eastAsia="id-ID"/>
              </w:rPr>
            </w:pPr>
            <w:r>
              <w:rPr>
                <w:rFonts w:hint="default" w:ascii="Cambria" w:hAnsi="Cambria" w:eastAsia="Times New Roman" w:cs="Cambria"/>
                <w:b/>
                <w:bCs w:val="0"/>
                <w:color w:val="000000"/>
                <w:sz w:val="20"/>
                <w:szCs w:val="20"/>
                <w:lang w:val="id-ID" w:eastAsia="id-ID"/>
              </w:rPr>
              <w:t>Tujuan</w:t>
            </w:r>
          </w:p>
        </w:tc>
        <w:tc>
          <w:tcPr>
            <w:tcW w:w="2250" w:type="dxa"/>
            <w:tcBorders>
              <w:top w:val="single" w:color="FFFFFF" w:themeColor="background1" w:sz="4" w:space="0"/>
              <w:right w:val="nil"/>
              <w:insideV w:val="nil"/>
            </w:tcBorders>
            <w:shd w:val="clear" w:color="auto" w:fill="9BBB59" w:themeFill="accent3"/>
          </w:tcPr>
          <w:p>
            <w:pPr>
              <w:spacing w:after="0" w:line="240" w:lineRule="auto"/>
              <w:jc w:val="center"/>
              <w:rPr>
                <w:rFonts w:hint="default" w:ascii="Cambria" w:hAnsi="Cambria" w:eastAsia="Times New Roman" w:cs="Cambria"/>
                <w:b w:val="0"/>
                <w:bCs/>
                <w:color w:val="000000"/>
                <w:sz w:val="20"/>
                <w:szCs w:val="20"/>
                <w:lang w:val="id-ID" w:eastAsia="id-ID"/>
              </w:rPr>
            </w:pPr>
          </w:p>
          <w:p>
            <w:pPr>
              <w:spacing w:after="0" w:line="240" w:lineRule="auto"/>
              <w:jc w:val="center"/>
              <w:rPr>
                <w:rFonts w:hint="default" w:ascii="Cambria" w:hAnsi="Cambria" w:eastAsia="Times New Roman" w:cs="Cambria"/>
                <w:b w:val="0"/>
                <w:bCs/>
                <w:color w:val="000000"/>
                <w:sz w:val="20"/>
                <w:szCs w:val="20"/>
                <w:lang w:val="id-ID" w:eastAsia="id-ID"/>
              </w:rPr>
            </w:pPr>
            <w:r>
              <w:rPr>
                <w:rFonts w:hint="default" w:ascii="Cambria" w:hAnsi="Cambria" w:eastAsia="Times New Roman" w:cs="Cambria"/>
                <w:b/>
                <w:bCs w:val="0"/>
                <w:color w:val="000000"/>
                <w:sz w:val="20"/>
                <w:szCs w:val="20"/>
                <w:lang w:val="id-ID" w:eastAsia="id-ID"/>
              </w:rPr>
              <w:t>Sasaran Strategis</w:t>
            </w:r>
          </w:p>
        </w:tc>
        <w:tc>
          <w:tcPr>
            <w:tcW w:w="1980" w:type="dxa"/>
            <w:tcBorders>
              <w:top w:val="single" w:color="FFFFFF" w:themeColor="background1" w:sz="4" w:space="0"/>
              <w:right w:val="nil"/>
              <w:insideV w:val="nil"/>
            </w:tcBorders>
            <w:shd w:val="clear" w:color="auto" w:fill="9BBB59" w:themeFill="accent3"/>
          </w:tcPr>
          <w:p>
            <w:pPr>
              <w:spacing w:after="0" w:line="240" w:lineRule="auto"/>
              <w:jc w:val="center"/>
              <w:rPr>
                <w:rFonts w:hint="default" w:ascii="Cambria" w:hAnsi="Cambria" w:eastAsia="Times New Roman" w:cs="Cambria"/>
                <w:b w:val="0"/>
                <w:bCs/>
                <w:color w:val="000000"/>
                <w:sz w:val="20"/>
                <w:szCs w:val="20"/>
                <w:lang w:val="id-ID" w:eastAsia="id-ID"/>
              </w:rPr>
            </w:pPr>
          </w:p>
          <w:p>
            <w:pPr>
              <w:spacing w:after="0" w:line="240" w:lineRule="auto"/>
              <w:jc w:val="center"/>
              <w:rPr>
                <w:rFonts w:hint="default" w:ascii="Cambria" w:hAnsi="Cambria" w:eastAsia="Times New Roman" w:cs="Cambria"/>
                <w:b w:val="0"/>
                <w:bCs/>
                <w:color w:val="000000"/>
                <w:sz w:val="20"/>
                <w:szCs w:val="20"/>
                <w:lang w:val="id-ID" w:eastAsia="id-ID"/>
              </w:rPr>
            </w:pPr>
            <w:r>
              <w:rPr>
                <w:rFonts w:hint="default" w:ascii="Cambria" w:hAnsi="Cambria" w:eastAsia="Times New Roman" w:cs="Cambria"/>
                <w:b/>
                <w:bCs w:val="0"/>
                <w:color w:val="000000"/>
                <w:sz w:val="20"/>
                <w:szCs w:val="20"/>
                <w:lang w:val="id-ID" w:eastAsia="id-ID"/>
              </w:rPr>
              <w:t>Indikator Kinerja Sasaran</w:t>
            </w:r>
          </w:p>
        </w:tc>
        <w:tc>
          <w:tcPr>
            <w:tcW w:w="1091" w:type="dxa"/>
            <w:tcBorders>
              <w:top w:val="single" w:color="FFFFFF" w:themeColor="background1" w:sz="4" w:space="0"/>
              <w:right w:val="single" w:color="FFFFFF" w:themeColor="background1" w:sz="4" w:space="0"/>
              <w:insideV w:val="nil"/>
            </w:tcBorders>
            <w:shd w:val="clear" w:color="auto" w:fill="9BBB59" w:themeFill="accent3"/>
          </w:tcPr>
          <w:p>
            <w:pPr>
              <w:spacing w:after="0" w:line="240" w:lineRule="auto"/>
              <w:jc w:val="center"/>
              <w:rPr>
                <w:rFonts w:hint="default" w:ascii="Cambria" w:hAnsi="Cambria" w:eastAsia="Times New Roman" w:cs="Cambria"/>
                <w:b w:val="0"/>
                <w:bCs/>
                <w:color w:val="000000"/>
                <w:sz w:val="20"/>
                <w:szCs w:val="20"/>
                <w:lang w:val="id-ID" w:eastAsia="id-ID"/>
              </w:rPr>
            </w:pPr>
          </w:p>
          <w:p>
            <w:pPr>
              <w:spacing w:after="0" w:line="240" w:lineRule="auto"/>
              <w:jc w:val="center"/>
              <w:rPr>
                <w:rFonts w:hint="default" w:ascii="Cambria" w:hAnsi="Cambria" w:eastAsia="Times New Roman" w:cs="Cambria"/>
                <w:b w:val="0"/>
                <w:bCs/>
                <w:color w:val="000000"/>
                <w:sz w:val="20"/>
                <w:szCs w:val="20"/>
                <w:lang w:val="id-ID" w:eastAsia="id-ID"/>
              </w:rPr>
            </w:pPr>
            <w:r>
              <w:rPr>
                <w:rFonts w:hint="default" w:ascii="Cambria" w:hAnsi="Cambria" w:eastAsia="Times New Roman" w:cs="Cambria"/>
                <w:b/>
                <w:bCs w:val="0"/>
                <w:color w:val="000000"/>
                <w:sz w:val="20"/>
                <w:szCs w:val="20"/>
                <w:lang w:val="id-ID" w:eastAsia="id-ID"/>
              </w:rPr>
              <w:t>Target</w:t>
            </w:r>
          </w:p>
          <w:p>
            <w:pPr>
              <w:spacing w:after="0" w:line="240" w:lineRule="auto"/>
              <w:jc w:val="center"/>
              <w:rPr>
                <w:rFonts w:hint="default" w:ascii="Cambria" w:hAnsi="Cambria" w:eastAsia="Times New Roman" w:cs="Cambria"/>
                <w:b w:val="0"/>
                <w:bCs/>
                <w:color w:val="000000"/>
                <w:sz w:val="20"/>
                <w:szCs w:val="20"/>
                <w:lang w:val="en-US" w:eastAsia="id-ID"/>
              </w:rPr>
            </w:pPr>
            <w:r>
              <w:rPr>
                <w:rFonts w:hint="default" w:ascii="Cambria" w:hAnsi="Cambria" w:eastAsia="Times New Roman" w:cs="Cambria"/>
                <w:b/>
                <w:bCs w:val="0"/>
                <w:color w:val="000000"/>
                <w:sz w:val="20"/>
                <w:szCs w:val="20"/>
                <w:lang w:val="id-ID" w:eastAsia="id-ID"/>
              </w:rPr>
              <w:t>Th. 202</w:t>
            </w:r>
            <w:r>
              <w:rPr>
                <w:rFonts w:hint="default" w:ascii="Cambria" w:hAnsi="Cambria" w:eastAsia="Times New Roman" w:cs="Cambria"/>
                <w:b/>
                <w:bCs w:val="0"/>
                <w:color w:val="000000"/>
                <w:sz w:val="20"/>
                <w:szCs w:val="20"/>
                <w:lang w:val="en-US" w:eastAsia="id-ID"/>
              </w:rPr>
              <w:t>2</w:t>
            </w:r>
          </w:p>
        </w:tc>
      </w:tr>
      <w:tr>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725" w:hRule="atLeast"/>
        </w:trPr>
        <w:tc>
          <w:tcPr>
            <w:tcW w:w="595" w:type="dxa"/>
            <w:tcBorders>
              <w:left w:val="single" w:color="FFFFFF" w:themeColor="background1" w:sz="4" w:space="0"/>
            </w:tcBorders>
            <w:shd w:val="clear" w:color="auto" w:fill="9BBB59" w:themeFill="accent3"/>
            <w:noWrap/>
          </w:tcPr>
          <w:p>
            <w:pPr>
              <w:spacing w:after="0" w:line="240" w:lineRule="auto"/>
              <w:jc w:val="center"/>
              <w:rPr>
                <w:rFonts w:hint="default" w:ascii="Cambria" w:hAnsi="Cambria" w:eastAsia="Times New Roman" w:cs="Cambria"/>
                <w:b/>
                <w:bCs/>
                <w:color w:val="000000"/>
                <w:sz w:val="20"/>
                <w:szCs w:val="20"/>
                <w:lang w:val="id-ID" w:eastAsia="id-ID"/>
              </w:rPr>
            </w:pPr>
            <w:r>
              <w:rPr>
                <w:rFonts w:hint="default" w:ascii="Cambria" w:hAnsi="Cambria" w:eastAsia="Times New Roman" w:cs="Cambria"/>
                <w:b w:val="0"/>
                <w:bCs w:val="0"/>
                <w:color w:val="000000"/>
                <w:sz w:val="20"/>
                <w:szCs w:val="20"/>
                <w:lang w:val="id-ID" w:eastAsia="id-ID"/>
              </w:rPr>
              <w:t>I.</w:t>
            </w:r>
          </w:p>
        </w:tc>
        <w:tc>
          <w:tcPr>
            <w:tcW w:w="1206" w:type="dxa"/>
            <w:shd w:val="clear" w:color="auto" w:fill="D6E3BC" w:themeFill="accent3" w:themeFillTint="66"/>
          </w:tcPr>
          <w:p>
            <w:pPr>
              <w:snapToGrid w:val="0"/>
              <w:spacing w:before="60" w:after="60" w:line="240" w:lineRule="auto"/>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Kepulauan Selayar sebagai Bandar Maritim Kawasan Timur Indonesia</w:t>
            </w:r>
          </w:p>
        </w:tc>
        <w:tc>
          <w:tcPr>
            <w:tcW w:w="1409" w:type="dxa"/>
            <w:shd w:val="clear" w:color="auto" w:fill="D6E3BC" w:themeFill="accent3" w:themeFillTint="66"/>
          </w:tcPr>
          <w:p>
            <w:pPr>
              <w:snapToGrid w:val="0"/>
              <w:spacing w:before="60" w:after="60" w:line="240" w:lineRule="auto"/>
              <w:rPr>
                <w:rFonts w:hint="default" w:ascii="Cambria" w:hAnsi="Cambria" w:eastAsia="Times New Roman" w:cs="Cambria"/>
                <w:sz w:val="20"/>
                <w:szCs w:val="20"/>
                <w:u w:val="single"/>
                <w:lang w:val="id-ID" w:eastAsia="id-ID"/>
              </w:rPr>
            </w:pPr>
            <w:r>
              <w:rPr>
                <w:rFonts w:hint="default" w:ascii="Cambria" w:hAnsi="Cambria" w:eastAsia="Times New Roman" w:cs="Cambria"/>
                <w:sz w:val="20"/>
                <w:szCs w:val="20"/>
                <w:u w:val="single"/>
                <w:lang w:val="id-ID" w:eastAsia="id-ID"/>
              </w:rPr>
              <w:t xml:space="preserve">Misi </w:t>
            </w:r>
            <w:r>
              <w:rPr>
                <w:rFonts w:hint="default" w:ascii="Cambria" w:hAnsi="Cambria" w:eastAsia="Times New Roman" w:cs="Cambria"/>
                <w:sz w:val="20"/>
                <w:szCs w:val="20"/>
                <w:u w:val="single"/>
                <w:lang w:eastAsia="id-ID"/>
              </w:rPr>
              <w:t>1</w:t>
            </w:r>
            <w:r>
              <w:rPr>
                <w:rFonts w:hint="default" w:ascii="Cambria" w:hAnsi="Cambria" w:eastAsia="Times New Roman" w:cs="Cambria"/>
                <w:sz w:val="20"/>
                <w:szCs w:val="20"/>
                <w:u w:val="single"/>
                <w:lang w:val="id-ID" w:eastAsia="id-ID"/>
              </w:rPr>
              <w:t xml:space="preserve"> :</w:t>
            </w:r>
          </w:p>
          <w:p>
            <w:pPr>
              <w:snapToGrid w:val="0"/>
              <w:spacing w:before="60" w:after="60" w:line="240" w:lineRule="auto"/>
              <w:rPr>
                <w:rFonts w:hint="default" w:ascii="Cambria" w:hAnsi="Cambria" w:eastAsia="Times New Roman" w:cs="Cambria"/>
                <w:sz w:val="20"/>
                <w:szCs w:val="20"/>
                <w:lang w:eastAsia="id-ID"/>
              </w:rPr>
            </w:pPr>
            <w:r>
              <w:rPr>
                <w:rFonts w:hint="default" w:ascii="Cambria" w:hAnsi="Cambria" w:eastAsia="Times New Roman" w:cs="Cambria"/>
                <w:sz w:val="20"/>
                <w:szCs w:val="20"/>
                <w:lang w:val="id-ID" w:eastAsia="id-ID"/>
              </w:rPr>
              <w:t>M</w:t>
            </w:r>
            <w:r>
              <w:rPr>
                <w:rFonts w:hint="default" w:ascii="Cambria" w:hAnsi="Cambria" w:eastAsia="Times New Roman" w:cs="Cambria"/>
                <w:sz w:val="20"/>
                <w:szCs w:val="20"/>
                <w:lang w:eastAsia="id-ID"/>
              </w:rPr>
              <w:t>engembangkan tata kelola pemerintahan yang akuntabel dan transpasaran</w:t>
            </w:r>
          </w:p>
        </w:tc>
        <w:tc>
          <w:tcPr>
            <w:tcW w:w="1485" w:type="dxa"/>
            <w:shd w:val="clear" w:color="auto" w:fill="D6E3BC" w:themeFill="accent3" w:themeFillTint="66"/>
          </w:tcPr>
          <w:p>
            <w:pPr>
              <w:snapToGrid w:val="0"/>
              <w:spacing w:before="60" w:after="60" w:line="240" w:lineRule="auto"/>
              <w:rPr>
                <w:rFonts w:hint="default" w:ascii="Cambria" w:hAnsi="Cambria" w:eastAsia="Times New Roman" w:cs="Cambria"/>
                <w:sz w:val="20"/>
                <w:szCs w:val="20"/>
                <w:lang w:eastAsia="id-ID"/>
              </w:rPr>
            </w:pPr>
            <w:r>
              <w:rPr>
                <w:rFonts w:hint="default" w:ascii="Cambria" w:hAnsi="Cambria" w:eastAsia="Times New Roman" w:cs="Cambria"/>
                <w:sz w:val="20"/>
                <w:szCs w:val="20"/>
                <w:lang w:val="id-ID" w:eastAsia="id-ID"/>
              </w:rPr>
              <w:t>M</w:t>
            </w:r>
            <w:r>
              <w:rPr>
                <w:rFonts w:hint="default" w:ascii="Cambria" w:hAnsi="Cambria" w:eastAsia="Times New Roman" w:cs="Cambria"/>
                <w:sz w:val="20"/>
                <w:szCs w:val="20"/>
                <w:lang w:eastAsia="id-ID"/>
              </w:rPr>
              <w:t>eningkatkan akuntabilitas kinerja pemerintah daerah</w:t>
            </w:r>
          </w:p>
        </w:tc>
        <w:tc>
          <w:tcPr>
            <w:tcW w:w="2250" w:type="dxa"/>
            <w:shd w:val="clear" w:color="auto" w:fill="D6E3BC" w:themeFill="accent3" w:themeFillTint="66"/>
          </w:tcPr>
          <w:p>
            <w:pPr>
              <w:numPr>
                <w:ilvl w:val="0"/>
                <w:numId w:val="32"/>
              </w:numPr>
              <w:snapToGrid w:val="0"/>
              <w:spacing w:before="60" w:after="60" w:line="240" w:lineRule="auto"/>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Meningkatnya kualitas pelayanan kepada masyarakat</w:t>
            </w:r>
          </w:p>
          <w:p>
            <w:pPr>
              <w:numPr>
                <w:numId w:val="0"/>
              </w:numPr>
              <w:snapToGrid w:val="0"/>
              <w:spacing w:before="60" w:after="60" w:line="240" w:lineRule="auto"/>
              <w:rPr>
                <w:rFonts w:hint="default" w:ascii="Cambria" w:hAnsi="Cambria" w:eastAsia="Times New Roman" w:cs="Cambria"/>
                <w:sz w:val="20"/>
                <w:szCs w:val="20"/>
                <w:lang w:eastAsia="id-ID"/>
              </w:rPr>
            </w:pPr>
          </w:p>
          <w:p>
            <w:pPr>
              <w:numPr>
                <w:ilvl w:val="0"/>
                <w:numId w:val="32"/>
              </w:numPr>
              <w:snapToGrid w:val="0"/>
              <w:spacing w:before="60" w:after="60" w:line="240" w:lineRule="auto"/>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Meningkatnya Nilai SAKIP</w:t>
            </w:r>
          </w:p>
          <w:p>
            <w:pPr>
              <w:numPr>
                <w:numId w:val="0"/>
              </w:numPr>
              <w:snapToGrid w:val="0"/>
              <w:spacing w:before="60" w:after="60" w:line="240" w:lineRule="auto"/>
              <w:rPr>
                <w:rFonts w:hint="default" w:ascii="Cambria" w:hAnsi="Cambria" w:eastAsia="Times New Roman" w:cs="Cambria"/>
                <w:sz w:val="20"/>
                <w:szCs w:val="20"/>
                <w:lang w:eastAsia="id-ID"/>
              </w:rPr>
            </w:pPr>
          </w:p>
          <w:p>
            <w:pPr>
              <w:numPr>
                <w:numId w:val="0"/>
              </w:numPr>
              <w:snapToGrid w:val="0"/>
              <w:spacing w:before="60" w:after="60" w:line="240" w:lineRule="auto"/>
              <w:rPr>
                <w:rFonts w:hint="default" w:ascii="Cambria" w:hAnsi="Cambria" w:eastAsia="Times New Roman" w:cs="Cambria"/>
                <w:sz w:val="20"/>
                <w:szCs w:val="20"/>
                <w:lang w:eastAsia="id-ID"/>
              </w:rPr>
            </w:pPr>
          </w:p>
          <w:p>
            <w:pPr>
              <w:numPr>
                <w:numId w:val="0"/>
              </w:numPr>
              <w:snapToGrid w:val="0"/>
              <w:spacing w:before="60" w:after="60" w:line="240" w:lineRule="auto"/>
              <w:rPr>
                <w:rFonts w:hint="default" w:ascii="Cambria" w:hAnsi="Cambria" w:eastAsia="Times New Roman" w:cs="Cambria"/>
                <w:sz w:val="20"/>
                <w:szCs w:val="20"/>
                <w:lang w:eastAsia="id-ID"/>
              </w:rPr>
            </w:pPr>
          </w:p>
          <w:p>
            <w:pPr>
              <w:numPr>
                <w:numId w:val="0"/>
              </w:numPr>
              <w:snapToGrid w:val="0"/>
              <w:spacing w:before="60" w:after="60" w:line="240" w:lineRule="auto"/>
              <w:rPr>
                <w:rFonts w:hint="default" w:ascii="Cambria" w:hAnsi="Cambria" w:eastAsia="Times New Roman" w:cs="Cambria"/>
                <w:sz w:val="20"/>
                <w:szCs w:val="20"/>
                <w:lang w:eastAsia="id-ID"/>
              </w:rPr>
            </w:pPr>
          </w:p>
          <w:p>
            <w:pPr>
              <w:numPr>
                <w:ilvl w:val="0"/>
                <w:numId w:val="32"/>
              </w:numPr>
              <w:snapToGrid w:val="0"/>
              <w:spacing w:before="60" w:after="60" w:line="240" w:lineRule="auto"/>
              <w:rPr>
                <w:rFonts w:hint="default" w:ascii="Cambria" w:hAnsi="Cambria" w:eastAsia="Times New Roman" w:cs="Cambria"/>
                <w:color w:val="000000"/>
                <w:sz w:val="20"/>
                <w:szCs w:val="20"/>
                <w:lang w:val="id-ID" w:eastAsia="id-ID"/>
              </w:rPr>
            </w:pPr>
            <w:r>
              <w:rPr>
                <w:rFonts w:hint="default" w:ascii="Cambria" w:hAnsi="Cambria" w:eastAsia="Times New Roman" w:cs="Cambria"/>
                <w:sz w:val="20"/>
                <w:szCs w:val="20"/>
                <w:lang w:eastAsia="id-ID"/>
              </w:rPr>
              <w:t>Meningkatnya tertib administrasi pengelolaan keuangan dan aset daerah</w:t>
            </w:r>
          </w:p>
        </w:tc>
        <w:tc>
          <w:tcPr>
            <w:tcW w:w="1980" w:type="dxa"/>
            <w:shd w:val="clear" w:color="auto" w:fill="D6E3BC" w:themeFill="accent3" w:themeFillTint="66"/>
          </w:tcPr>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Indek Kepuasan layanan</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Nilai Perencanaan Kinerja</w:t>
            </w: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Nilai Pengukuran Kinerja</w:t>
            </w: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Nilai Pelaporan Kinerja</w:t>
            </w: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Nilai Evaluasi Internal</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Laporan Keuangan Sesuai  SAP</w:t>
            </w:r>
          </w:p>
        </w:tc>
        <w:tc>
          <w:tcPr>
            <w:tcW w:w="1091" w:type="dxa"/>
            <w:shd w:val="clear" w:color="auto" w:fill="D6E3BC" w:themeFill="accent3" w:themeFillTint="66"/>
            <w:vAlign w:val="top"/>
          </w:tcPr>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60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19,25</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13,15</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12,15</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11,51</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tc>
      </w:tr>
      <w:tr>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748" w:hRule="atLeast"/>
        </w:trPr>
        <w:tc>
          <w:tcPr>
            <w:tcW w:w="595" w:type="dxa"/>
            <w:tcBorders>
              <w:left w:val="single" w:color="FFFFFF" w:themeColor="background1" w:sz="4" w:space="0"/>
            </w:tcBorders>
            <w:shd w:val="clear" w:color="auto" w:fill="9BBB59" w:themeFill="accent3"/>
          </w:tcPr>
          <w:p>
            <w:pPr>
              <w:spacing w:after="0" w:line="240" w:lineRule="auto"/>
              <w:jc w:val="center"/>
              <w:rPr>
                <w:rFonts w:hint="default" w:ascii="Cambria" w:hAnsi="Cambria" w:eastAsia="Times New Roman" w:cs="Cambria"/>
                <w:b/>
                <w:bCs w:val="0"/>
                <w:color w:val="000000"/>
                <w:sz w:val="20"/>
                <w:szCs w:val="20"/>
                <w:lang w:val="id-ID" w:eastAsia="id-ID"/>
              </w:rPr>
            </w:pPr>
            <w:r>
              <w:rPr>
                <w:rFonts w:hint="default" w:ascii="Cambria" w:hAnsi="Cambria" w:eastAsia="Times New Roman" w:cs="Cambria"/>
                <w:b w:val="0"/>
                <w:bCs/>
                <w:color w:val="000000"/>
                <w:sz w:val="20"/>
                <w:szCs w:val="20"/>
                <w:lang w:val="id-ID" w:eastAsia="id-ID"/>
              </w:rPr>
              <w:t>2.</w:t>
            </w:r>
          </w:p>
        </w:tc>
        <w:tc>
          <w:tcPr>
            <w:tcW w:w="1206" w:type="dxa"/>
            <w:shd w:val="clear" w:color="auto" w:fill="EAF1DD" w:themeFill="accent3" w:themeFillTint="33"/>
          </w:tcPr>
          <w:p>
            <w:pPr>
              <w:spacing w:after="0" w:line="240" w:lineRule="auto"/>
              <w:rPr>
                <w:rFonts w:hint="default" w:ascii="Cambria" w:hAnsi="Cambria" w:eastAsia="Times New Roman" w:cs="Cambria"/>
                <w:color w:val="000000"/>
                <w:sz w:val="20"/>
                <w:szCs w:val="20"/>
                <w:lang w:val="id-ID" w:eastAsia="id-ID"/>
              </w:rPr>
            </w:pPr>
          </w:p>
        </w:tc>
        <w:tc>
          <w:tcPr>
            <w:tcW w:w="1409" w:type="dxa"/>
            <w:shd w:val="clear" w:color="auto" w:fill="EAF1DD" w:themeFill="accent3" w:themeFillTint="33"/>
          </w:tcPr>
          <w:p>
            <w:pPr>
              <w:spacing w:after="0" w:line="240" w:lineRule="auto"/>
              <w:rPr>
                <w:rFonts w:hint="default" w:ascii="Cambria" w:hAnsi="Cambria" w:eastAsia="Times New Roman" w:cs="Cambria"/>
                <w:sz w:val="20"/>
                <w:szCs w:val="20"/>
                <w:u w:val="single"/>
                <w:lang w:val="id-ID" w:eastAsia="id-ID"/>
              </w:rPr>
            </w:pPr>
            <w:r>
              <w:rPr>
                <w:rFonts w:hint="default" w:ascii="Cambria" w:hAnsi="Cambria" w:eastAsia="Times New Roman" w:cs="Cambria"/>
                <w:sz w:val="20"/>
                <w:szCs w:val="20"/>
                <w:u w:val="single"/>
                <w:lang w:val="id-ID" w:eastAsia="id-ID"/>
              </w:rPr>
              <w:t xml:space="preserve">Misi </w:t>
            </w:r>
            <w:r>
              <w:rPr>
                <w:rFonts w:hint="default" w:ascii="Cambria" w:hAnsi="Cambria" w:eastAsia="Times New Roman" w:cs="Cambria"/>
                <w:sz w:val="20"/>
                <w:szCs w:val="20"/>
                <w:u w:val="single"/>
                <w:lang w:eastAsia="id-ID"/>
              </w:rPr>
              <w:t>2</w:t>
            </w:r>
            <w:r>
              <w:rPr>
                <w:rFonts w:hint="default" w:ascii="Cambria" w:hAnsi="Cambria" w:eastAsia="Times New Roman" w:cs="Cambria"/>
                <w:sz w:val="20"/>
                <w:szCs w:val="20"/>
                <w:u w:val="single"/>
                <w:lang w:val="id-ID" w:eastAsia="id-ID"/>
              </w:rPr>
              <w:t xml:space="preserve"> :</w:t>
            </w:r>
          </w:p>
          <w:p>
            <w:pPr>
              <w:spacing w:after="0" w:line="240" w:lineRule="auto"/>
              <w:rPr>
                <w:rFonts w:hint="default" w:ascii="Cambria" w:hAnsi="Cambria" w:eastAsia="Times New Roman" w:cs="Cambria"/>
                <w:sz w:val="20"/>
                <w:szCs w:val="20"/>
                <w:lang w:val="id-ID" w:eastAsia="id-ID"/>
              </w:rPr>
            </w:pPr>
            <w:r>
              <w:rPr>
                <w:rFonts w:hint="default" w:ascii="Cambria" w:hAnsi="Cambria" w:eastAsia="Times New Roman" w:cs="Cambria"/>
                <w:sz w:val="20"/>
                <w:szCs w:val="20"/>
                <w:lang w:eastAsia="id-ID"/>
              </w:rPr>
              <w:t xml:space="preserve">Meningkatkan Kualitas Pembnagunan Pedesaan </w:t>
            </w:r>
            <w:r>
              <w:rPr>
                <w:rFonts w:hint="default" w:ascii="Cambria" w:hAnsi="Cambria" w:eastAsia="Times New Roman" w:cs="Cambria"/>
                <w:sz w:val="20"/>
                <w:szCs w:val="20"/>
                <w:lang w:val="id-ID" w:eastAsia="id-ID"/>
              </w:rPr>
              <w:t xml:space="preserve">               </w:t>
            </w:r>
          </w:p>
          <w:p>
            <w:pPr>
              <w:spacing w:after="0" w:line="240" w:lineRule="auto"/>
              <w:rPr>
                <w:rFonts w:hint="default" w:ascii="Cambria" w:hAnsi="Cambria" w:eastAsia="Times New Roman" w:cs="Cambria"/>
                <w:sz w:val="20"/>
                <w:szCs w:val="20"/>
                <w:lang w:val="id-ID" w:eastAsia="id-ID"/>
              </w:rPr>
            </w:pPr>
          </w:p>
          <w:p>
            <w:pPr>
              <w:spacing w:after="0" w:line="240" w:lineRule="auto"/>
              <w:rPr>
                <w:rFonts w:hint="default" w:ascii="Cambria" w:hAnsi="Cambria" w:eastAsia="Times New Roman" w:cs="Cambria"/>
                <w:color w:val="000000"/>
                <w:sz w:val="20"/>
                <w:szCs w:val="20"/>
                <w:lang w:val="id-ID" w:eastAsia="id-ID"/>
              </w:rPr>
            </w:pPr>
          </w:p>
        </w:tc>
        <w:tc>
          <w:tcPr>
            <w:tcW w:w="1485" w:type="dxa"/>
            <w:shd w:val="clear" w:color="auto" w:fill="EAF1DD" w:themeFill="accent3" w:themeFillTint="33"/>
          </w:tcPr>
          <w:p>
            <w:pPr>
              <w:spacing w:after="0" w:line="240" w:lineRule="auto"/>
              <w:rPr>
                <w:rFonts w:hint="default" w:ascii="Cambria" w:hAnsi="Cambria" w:eastAsia="Times New Roman" w:cs="Cambria"/>
                <w:color w:val="000000"/>
                <w:sz w:val="20"/>
                <w:szCs w:val="20"/>
                <w:lang w:eastAsia="id-ID"/>
              </w:rPr>
            </w:pPr>
            <w:r>
              <w:rPr>
                <w:rFonts w:hint="default" w:ascii="Cambria" w:hAnsi="Cambria" w:eastAsia="Times New Roman" w:cs="Cambria"/>
                <w:sz w:val="20"/>
                <w:szCs w:val="20"/>
                <w:lang w:eastAsia="id-ID"/>
              </w:rPr>
              <w:t>Meningkatkan kemandirian pelaku usaha</w:t>
            </w:r>
          </w:p>
        </w:tc>
        <w:tc>
          <w:tcPr>
            <w:tcW w:w="2250" w:type="dxa"/>
            <w:shd w:val="clear" w:color="auto" w:fill="EAF1DD" w:themeFill="accent3" w:themeFillTint="33"/>
          </w:tcPr>
          <w:p>
            <w:pPr>
              <w:snapToGrid w:val="0"/>
              <w:spacing w:before="60" w:after="60" w:line="240" w:lineRule="auto"/>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Menigkatnya kualitas kelembagaan, produktivitas dan daya saing serta kemandirian pelaku usaha</w:t>
            </w:r>
          </w:p>
          <w:p>
            <w:pPr>
              <w:spacing w:after="0" w:line="240" w:lineRule="auto"/>
              <w:rPr>
                <w:rFonts w:hint="default" w:ascii="Cambria" w:hAnsi="Cambria" w:eastAsia="Times New Roman" w:cs="Cambria"/>
                <w:color w:val="000000"/>
                <w:sz w:val="20"/>
                <w:szCs w:val="20"/>
                <w:lang w:val="id-ID" w:eastAsia="id-ID"/>
              </w:rPr>
            </w:pPr>
          </w:p>
        </w:tc>
        <w:tc>
          <w:tcPr>
            <w:tcW w:w="1980" w:type="dxa"/>
            <w:shd w:val="clear" w:color="auto" w:fill="EAF1DD" w:themeFill="accent3" w:themeFillTint="33"/>
          </w:tcPr>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Persentase koperasi aktif</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-Persentase UKM Non BPR / LKM Aktif</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ind w:left="100" w:hanging="100" w:hangingChars="50"/>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Persentase BPR / LKM Aktif</w:t>
            </w:r>
          </w:p>
          <w:p>
            <w:pPr>
              <w:spacing w:after="0" w:line="240" w:lineRule="auto"/>
              <w:ind w:left="100" w:hanging="100" w:hangingChars="50"/>
              <w:rPr>
                <w:rFonts w:hint="default" w:ascii="Cambria" w:hAnsi="Cambria" w:eastAsia="Times New Roman" w:cs="Cambria"/>
                <w:color w:val="000000"/>
                <w:sz w:val="20"/>
                <w:szCs w:val="20"/>
                <w:lang w:val="en-US" w:eastAsia="id-ID"/>
              </w:rPr>
            </w:pPr>
          </w:p>
          <w:p>
            <w:pPr>
              <w:spacing w:after="0" w:line="240" w:lineRule="auto"/>
              <w:ind w:left="100" w:hanging="100" w:hangingChars="50"/>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Persentase usaha mikro dan kecil</w:t>
            </w:r>
          </w:p>
          <w:p>
            <w:pPr>
              <w:spacing w:after="0" w:line="240" w:lineRule="auto"/>
              <w:ind w:left="100" w:hanging="100" w:hangingChars="50"/>
              <w:rPr>
                <w:rFonts w:hint="default" w:ascii="Cambria" w:hAnsi="Cambria" w:eastAsia="Times New Roman" w:cs="Cambria"/>
                <w:color w:val="000000"/>
                <w:sz w:val="20"/>
                <w:szCs w:val="20"/>
                <w:lang w:val="en-US" w:eastAsia="id-ID"/>
              </w:rPr>
            </w:pPr>
          </w:p>
          <w:p>
            <w:pPr>
              <w:spacing w:after="0" w:line="240" w:lineRule="auto"/>
              <w:ind w:left="100" w:hanging="100" w:hangingChars="50"/>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xml:space="preserve">- Persentase koperasi yang berkualitas </w:t>
            </w:r>
          </w:p>
          <w:p>
            <w:pPr>
              <w:spacing w:after="0" w:line="240" w:lineRule="auto"/>
              <w:ind w:left="100" w:hanging="100" w:hangingChars="50"/>
              <w:rPr>
                <w:rFonts w:hint="default" w:ascii="Cambria" w:hAnsi="Cambria" w:eastAsia="Times New Roman" w:cs="Cambria"/>
                <w:color w:val="000000"/>
                <w:sz w:val="20"/>
                <w:szCs w:val="20"/>
                <w:lang w:val="en-US" w:eastAsia="id-ID"/>
              </w:rPr>
            </w:pPr>
          </w:p>
          <w:p>
            <w:pPr>
              <w:spacing w:after="0" w:line="240" w:lineRule="auto"/>
              <w:ind w:left="100" w:hanging="100" w:hangingChars="50"/>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-Persentase usaha kecil yang menjadi wirausaha</w:t>
            </w:r>
          </w:p>
        </w:tc>
        <w:tc>
          <w:tcPr>
            <w:tcW w:w="1091" w:type="dxa"/>
            <w:shd w:val="clear" w:color="auto" w:fill="EAF1DD" w:themeFill="accent3" w:themeFillTint="33"/>
          </w:tcPr>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85,5</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3</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77,95</w:t>
            </w:r>
          </w:p>
        </w:tc>
      </w:tr>
      <w:tr>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750" w:hRule="atLeast"/>
        </w:trPr>
        <w:tc>
          <w:tcPr>
            <w:tcW w:w="595" w:type="dxa"/>
            <w:tcBorders>
              <w:left w:val="single" w:color="FFFFFF" w:themeColor="background1" w:sz="4" w:space="0"/>
            </w:tcBorders>
            <w:shd w:val="clear" w:color="auto" w:fill="9BBB59" w:themeFill="accent3"/>
          </w:tcPr>
          <w:p>
            <w:pPr>
              <w:spacing w:after="0" w:line="240" w:lineRule="auto"/>
              <w:jc w:val="center"/>
              <w:rPr>
                <w:rFonts w:hint="default" w:ascii="Cambria" w:hAnsi="Cambria" w:eastAsia="Times New Roman" w:cs="Cambria"/>
                <w:b/>
                <w:bCs w:val="0"/>
                <w:color w:val="000000"/>
                <w:sz w:val="20"/>
                <w:szCs w:val="20"/>
                <w:lang w:val="id-ID" w:eastAsia="id-ID"/>
              </w:rPr>
            </w:pPr>
            <w:r>
              <w:rPr>
                <w:rFonts w:hint="default" w:ascii="Cambria" w:hAnsi="Cambria" w:eastAsia="Times New Roman" w:cs="Cambria"/>
                <w:b w:val="0"/>
                <w:bCs/>
                <w:color w:val="000000"/>
                <w:sz w:val="20"/>
                <w:szCs w:val="20"/>
                <w:lang w:val="id-ID" w:eastAsia="id-ID"/>
              </w:rPr>
              <w:t>3.</w:t>
            </w:r>
          </w:p>
        </w:tc>
        <w:tc>
          <w:tcPr>
            <w:tcW w:w="1206" w:type="dxa"/>
            <w:shd w:val="clear" w:color="auto" w:fill="D6E3BC" w:themeFill="accent3" w:themeFillTint="66"/>
          </w:tcPr>
          <w:p>
            <w:pPr>
              <w:snapToGrid w:val="0"/>
              <w:spacing w:before="60" w:after="60" w:line="240" w:lineRule="auto"/>
              <w:rPr>
                <w:rFonts w:hint="default" w:ascii="Cambria" w:hAnsi="Cambria" w:eastAsia="Times New Roman" w:cs="Cambria"/>
                <w:sz w:val="20"/>
                <w:szCs w:val="20"/>
                <w:lang w:val="id-ID" w:eastAsia="id-ID"/>
              </w:rPr>
            </w:pPr>
          </w:p>
        </w:tc>
        <w:tc>
          <w:tcPr>
            <w:tcW w:w="1409" w:type="dxa"/>
            <w:shd w:val="clear" w:color="auto" w:fill="D6E3BC" w:themeFill="accent3" w:themeFillTint="66"/>
          </w:tcPr>
          <w:p>
            <w:pPr>
              <w:spacing w:after="0" w:line="240" w:lineRule="auto"/>
              <w:rPr>
                <w:rFonts w:hint="default" w:ascii="Cambria" w:hAnsi="Cambria" w:eastAsia="Times New Roman" w:cs="Cambria"/>
                <w:sz w:val="20"/>
                <w:szCs w:val="20"/>
                <w:u w:val="single"/>
                <w:lang w:val="id-ID" w:eastAsia="id-ID"/>
              </w:rPr>
            </w:pPr>
            <w:r>
              <w:rPr>
                <w:rFonts w:hint="default" w:ascii="Cambria" w:hAnsi="Cambria" w:eastAsia="Times New Roman" w:cs="Cambria"/>
                <w:sz w:val="20"/>
                <w:szCs w:val="20"/>
                <w:u w:val="single"/>
                <w:lang w:val="id-ID" w:eastAsia="id-ID"/>
              </w:rPr>
              <w:t xml:space="preserve">Misi </w:t>
            </w:r>
            <w:r>
              <w:rPr>
                <w:rFonts w:hint="default" w:ascii="Cambria" w:hAnsi="Cambria" w:eastAsia="Times New Roman" w:cs="Cambria"/>
                <w:sz w:val="20"/>
                <w:szCs w:val="20"/>
                <w:u w:val="single"/>
                <w:lang w:eastAsia="id-ID"/>
              </w:rPr>
              <w:t>3</w:t>
            </w:r>
            <w:r>
              <w:rPr>
                <w:rFonts w:hint="default" w:ascii="Cambria" w:hAnsi="Cambria" w:eastAsia="Times New Roman" w:cs="Cambria"/>
                <w:sz w:val="20"/>
                <w:szCs w:val="20"/>
                <w:u w:val="single"/>
                <w:lang w:val="id-ID" w:eastAsia="id-ID"/>
              </w:rPr>
              <w:t xml:space="preserve"> :</w:t>
            </w:r>
          </w:p>
          <w:p>
            <w:pPr>
              <w:snapToGrid w:val="0"/>
              <w:spacing w:before="60" w:after="60" w:line="240" w:lineRule="auto"/>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Meningkatnya kualitas hidup masyarakat</w:t>
            </w:r>
          </w:p>
        </w:tc>
        <w:tc>
          <w:tcPr>
            <w:tcW w:w="1485" w:type="dxa"/>
            <w:shd w:val="clear" w:color="auto" w:fill="D6E3BC" w:themeFill="accent3" w:themeFillTint="66"/>
          </w:tcPr>
          <w:p>
            <w:pPr>
              <w:snapToGrid w:val="0"/>
              <w:spacing w:before="60" w:after="60" w:line="240" w:lineRule="auto"/>
              <w:rPr>
                <w:rFonts w:hint="default" w:ascii="Cambria" w:hAnsi="Cambria" w:eastAsia="Times New Roman" w:cs="Cambria"/>
                <w:sz w:val="20"/>
                <w:szCs w:val="20"/>
                <w:lang w:eastAsia="id-ID"/>
              </w:rPr>
            </w:pPr>
            <w:r>
              <w:rPr>
                <w:rFonts w:hint="default" w:ascii="Cambria" w:hAnsi="Cambria" w:eastAsia="Times New Roman" w:cs="Cambria"/>
                <w:sz w:val="20"/>
                <w:szCs w:val="20"/>
                <w:lang w:eastAsia="id-ID"/>
              </w:rPr>
              <w:t>Meningkatkan kesejahtraan masyarakat pelaku usaha</w:t>
            </w:r>
          </w:p>
        </w:tc>
        <w:tc>
          <w:tcPr>
            <w:tcW w:w="2250" w:type="dxa"/>
            <w:shd w:val="clear" w:color="auto" w:fill="D6E3BC" w:themeFill="accent3" w:themeFillTint="66"/>
          </w:tcPr>
          <w:p>
            <w:pPr>
              <w:spacing w:after="0" w:line="240" w:lineRule="auto"/>
              <w:rPr>
                <w:rFonts w:hint="default" w:ascii="Cambria" w:hAnsi="Cambria" w:eastAsia="Times New Roman" w:cs="Cambria"/>
                <w:color w:val="000000"/>
                <w:sz w:val="20"/>
                <w:szCs w:val="20"/>
                <w:lang w:eastAsia="id-ID"/>
              </w:rPr>
            </w:pPr>
            <w:r>
              <w:rPr>
                <w:rFonts w:hint="default" w:ascii="Cambria" w:hAnsi="Cambria" w:eastAsia="Times New Roman" w:cs="Cambria"/>
                <w:sz w:val="20"/>
                <w:szCs w:val="20"/>
                <w:lang w:eastAsia="id-ID"/>
              </w:rPr>
              <w:t>Meningkatnya pendapatan masyarakat pelaku usaha</w:t>
            </w:r>
          </w:p>
        </w:tc>
        <w:tc>
          <w:tcPr>
            <w:tcW w:w="1980" w:type="dxa"/>
            <w:shd w:val="clear" w:color="auto" w:fill="D6E3BC" w:themeFill="accent3" w:themeFillTint="66"/>
          </w:tcPr>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Persentase kontribusi terhadap PDRB</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-Persentase kontribusi sektor perdagangan terhadap PDRB</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-Pertumbuhan jumlah industri kecil dan menengah</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Persentase IKM yang berkembang modal usaha dan tenaga kerja</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Persentase IKM yanh terdaftar pada SIINAS</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Cakupan bina kelompok pengrajin</w:t>
            </w:r>
          </w:p>
        </w:tc>
        <w:tc>
          <w:tcPr>
            <w:tcW w:w="1091" w:type="dxa"/>
            <w:shd w:val="clear" w:color="auto" w:fill="D6E3BC" w:themeFill="accent3" w:themeFillTint="66"/>
          </w:tcPr>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2,9</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7,88</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1300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0,67</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p>
            <w:pPr>
              <w:spacing w:after="0" w:line="240" w:lineRule="auto"/>
              <w:jc w:val="center"/>
              <w:rPr>
                <w:rFonts w:hint="default" w:ascii="Cambria" w:hAnsi="Cambria" w:eastAsia="Times New Roman" w:cs="Cambria"/>
                <w:color w:val="000000"/>
                <w:sz w:val="20"/>
                <w:szCs w:val="20"/>
                <w:lang w:val="en-US" w:eastAsia="id-ID"/>
              </w:rPr>
            </w:pPr>
          </w:p>
        </w:tc>
      </w:tr>
      <w:tr>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2258" w:hRule="atLeast"/>
        </w:trPr>
        <w:tc>
          <w:tcPr>
            <w:tcW w:w="595" w:type="dxa"/>
            <w:tcBorders>
              <w:left w:val="single" w:color="FFFFFF" w:themeColor="background1" w:sz="4" w:space="0"/>
              <w:bottom w:val="single" w:color="FFFFFF" w:themeColor="background1" w:sz="4" w:space="0"/>
            </w:tcBorders>
            <w:shd w:val="clear" w:color="auto" w:fill="9BBB59" w:themeFill="accent3"/>
          </w:tcPr>
          <w:p>
            <w:pPr>
              <w:spacing w:after="0" w:line="240" w:lineRule="auto"/>
              <w:jc w:val="center"/>
              <w:rPr>
                <w:rFonts w:hint="default" w:ascii="Cambria" w:hAnsi="Cambria" w:eastAsia="Times New Roman" w:cs="Cambria"/>
                <w:b/>
                <w:bCs w:val="0"/>
                <w:color w:val="000000"/>
                <w:sz w:val="20"/>
                <w:szCs w:val="20"/>
                <w:lang w:val="id-ID" w:eastAsia="id-ID"/>
              </w:rPr>
            </w:pPr>
            <w:r>
              <w:rPr>
                <w:rFonts w:hint="default" w:ascii="Cambria" w:hAnsi="Cambria" w:eastAsia="Times New Roman" w:cs="Cambria"/>
                <w:b w:val="0"/>
                <w:bCs/>
                <w:color w:val="000000"/>
                <w:sz w:val="20"/>
                <w:szCs w:val="20"/>
                <w:lang w:val="id-ID" w:eastAsia="id-ID"/>
              </w:rPr>
              <w:t>4.</w:t>
            </w:r>
          </w:p>
        </w:tc>
        <w:tc>
          <w:tcPr>
            <w:tcW w:w="1206" w:type="dxa"/>
            <w:shd w:val="clear" w:color="auto" w:fill="EAF1DD" w:themeFill="accent3" w:themeFillTint="33"/>
          </w:tcPr>
          <w:p>
            <w:pPr>
              <w:spacing w:after="0" w:line="240" w:lineRule="auto"/>
              <w:rPr>
                <w:rFonts w:hint="default" w:ascii="Cambria" w:hAnsi="Cambria" w:eastAsia="Times New Roman" w:cs="Cambria"/>
                <w:color w:val="000000"/>
                <w:sz w:val="20"/>
                <w:szCs w:val="20"/>
                <w:lang w:val="id-ID" w:eastAsia="id-ID"/>
              </w:rPr>
            </w:pPr>
          </w:p>
        </w:tc>
        <w:tc>
          <w:tcPr>
            <w:tcW w:w="1409" w:type="dxa"/>
            <w:shd w:val="clear" w:color="auto" w:fill="EAF1DD" w:themeFill="accent3" w:themeFillTint="33"/>
          </w:tcPr>
          <w:p>
            <w:pPr>
              <w:spacing w:after="0" w:line="240" w:lineRule="auto"/>
              <w:rPr>
                <w:rFonts w:hint="default" w:ascii="Cambria" w:hAnsi="Cambria" w:eastAsia="Times New Roman" w:cs="Cambria"/>
                <w:sz w:val="20"/>
                <w:szCs w:val="20"/>
                <w:lang w:val="id-ID" w:eastAsia="id-ID"/>
              </w:rPr>
            </w:pPr>
            <w:r>
              <w:rPr>
                <w:rFonts w:hint="default" w:ascii="Cambria" w:hAnsi="Cambria" w:eastAsia="Times New Roman" w:cs="Cambria"/>
                <w:sz w:val="20"/>
                <w:szCs w:val="20"/>
                <w:lang w:val="id-ID" w:eastAsia="id-ID"/>
              </w:rPr>
              <w:t xml:space="preserve">Misi </w:t>
            </w:r>
            <w:r>
              <w:rPr>
                <w:rFonts w:hint="default" w:ascii="Cambria" w:hAnsi="Cambria" w:eastAsia="Times New Roman" w:cs="Cambria"/>
                <w:sz w:val="20"/>
                <w:szCs w:val="20"/>
                <w:lang w:eastAsia="id-ID"/>
              </w:rPr>
              <w:t>4</w:t>
            </w:r>
            <w:r>
              <w:rPr>
                <w:rFonts w:hint="default" w:ascii="Cambria" w:hAnsi="Cambria" w:eastAsia="Times New Roman" w:cs="Cambria"/>
                <w:sz w:val="20"/>
                <w:szCs w:val="20"/>
                <w:lang w:val="id-ID" w:eastAsia="id-ID"/>
              </w:rPr>
              <w:t xml:space="preserve"> :</w:t>
            </w:r>
          </w:p>
          <w:p>
            <w:pPr>
              <w:spacing w:after="0" w:line="240" w:lineRule="auto"/>
              <w:rPr>
                <w:rFonts w:hint="default" w:ascii="Cambria" w:hAnsi="Cambria" w:eastAsia="Times New Roman" w:cs="Cambria"/>
                <w:color w:val="000000"/>
                <w:sz w:val="20"/>
                <w:szCs w:val="20"/>
                <w:lang w:eastAsia="id-ID"/>
              </w:rPr>
            </w:pPr>
            <w:r>
              <w:rPr>
                <w:rFonts w:hint="default" w:ascii="Cambria" w:hAnsi="Cambria" w:eastAsia="Times New Roman" w:cs="Cambria"/>
                <w:sz w:val="20"/>
                <w:szCs w:val="20"/>
                <w:lang w:eastAsia="id-ID"/>
              </w:rPr>
              <w:t>Mengembangkan pengelolaan potensi kemaritiman</w:t>
            </w:r>
          </w:p>
        </w:tc>
        <w:tc>
          <w:tcPr>
            <w:tcW w:w="1485" w:type="dxa"/>
            <w:shd w:val="clear" w:color="auto" w:fill="EAF1DD" w:themeFill="accent3" w:themeFillTint="33"/>
          </w:tcPr>
          <w:p>
            <w:pPr>
              <w:spacing w:after="0" w:line="240" w:lineRule="auto"/>
              <w:rPr>
                <w:rFonts w:hint="default" w:ascii="Cambria" w:hAnsi="Cambria" w:eastAsia="Times New Roman" w:cs="Cambria"/>
                <w:color w:val="000000"/>
                <w:sz w:val="20"/>
                <w:szCs w:val="20"/>
                <w:lang w:eastAsia="id-ID"/>
              </w:rPr>
            </w:pPr>
            <w:r>
              <w:rPr>
                <w:rFonts w:hint="default" w:ascii="Cambria" w:hAnsi="Cambria" w:eastAsia="Times New Roman" w:cs="Cambria"/>
                <w:color w:val="000000"/>
                <w:sz w:val="20"/>
                <w:szCs w:val="20"/>
                <w:lang w:eastAsia="id-ID"/>
              </w:rPr>
              <w:t>Meningkatkan penguatan pasar daerah guna meningkatkan perdagangan dalam negeri</w:t>
            </w:r>
          </w:p>
        </w:tc>
        <w:tc>
          <w:tcPr>
            <w:tcW w:w="2250" w:type="dxa"/>
            <w:shd w:val="clear" w:color="auto" w:fill="EAF1DD" w:themeFill="accent3" w:themeFillTint="33"/>
          </w:tcPr>
          <w:p>
            <w:pPr>
              <w:snapToGrid w:val="0"/>
              <w:spacing w:before="60" w:after="60" w:line="240" w:lineRule="auto"/>
              <w:rPr>
                <w:rFonts w:hint="default" w:ascii="Cambria" w:hAnsi="Cambria" w:eastAsia="Times New Roman" w:cs="Cambria"/>
                <w:color w:val="000000"/>
                <w:sz w:val="20"/>
                <w:szCs w:val="20"/>
                <w:lang w:eastAsia="id-ID"/>
              </w:rPr>
            </w:pPr>
            <w:r>
              <w:rPr>
                <w:rFonts w:hint="default" w:ascii="Cambria" w:hAnsi="Cambria" w:eastAsia="Times New Roman" w:cs="Cambria"/>
                <w:color w:val="000000"/>
                <w:sz w:val="20"/>
                <w:szCs w:val="20"/>
                <w:lang w:eastAsia="id-ID"/>
              </w:rPr>
              <w:t>Meningkatnya Potensi, peningkatan nilai tambah, penguasaan teknologi yang berwawasan lingkungan dan berbasis potensi lokal</w:t>
            </w:r>
          </w:p>
        </w:tc>
        <w:tc>
          <w:tcPr>
            <w:tcW w:w="1980" w:type="dxa"/>
            <w:shd w:val="clear" w:color="auto" w:fill="EAF1DD" w:themeFill="accent3" w:themeFillTint="33"/>
          </w:tcPr>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Persentase rekomendasi izin usaha sektor perdagangan yang diterbitkan</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Persentase kinerja realisasi pupuk</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xml:space="preserve">- Persentase ketersediaan sarana prasarana perdagangan </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Persentase barang beredar yang diawasi sesuai dengan peraturan perundang-undangan</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Persentase alat UTTP bertanda tera SAH yang berlaku</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Persentase produk lokal yang dipasarkan</w:t>
            </w:r>
          </w:p>
          <w:p>
            <w:pPr>
              <w:spacing w:after="0" w:line="240" w:lineRule="auto"/>
              <w:rPr>
                <w:rFonts w:hint="default" w:ascii="Cambria" w:hAnsi="Cambria" w:eastAsia="Times New Roman" w:cs="Cambria"/>
                <w:color w:val="000000"/>
                <w:sz w:val="20"/>
                <w:szCs w:val="20"/>
                <w:lang w:val="en-US" w:eastAsia="id-ID"/>
              </w:rPr>
            </w:pPr>
          </w:p>
          <w:p>
            <w:pPr>
              <w:spacing w:after="0" w:line="240" w:lineRule="auto"/>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 Cakupan bina kelompok pedagang / Usaha Informal</w:t>
            </w:r>
          </w:p>
        </w:tc>
        <w:tc>
          <w:tcPr>
            <w:tcW w:w="1091" w:type="dxa"/>
            <w:shd w:val="clear" w:color="auto" w:fill="EAF1DD" w:themeFill="accent3" w:themeFillTint="33"/>
          </w:tcPr>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12,04</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r>
              <w:rPr>
                <w:rFonts w:hint="default" w:ascii="Cambria" w:hAnsi="Cambria" w:eastAsia="Times New Roman" w:cs="Cambria"/>
                <w:color w:val="000000"/>
                <w:sz w:val="20"/>
                <w:szCs w:val="20"/>
                <w:lang w:val="en-US" w:eastAsia="id-ID"/>
              </w:rPr>
              <w:t>100</w:t>
            </w: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center"/>
              <w:rPr>
                <w:rFonts w:hint="default" w:ascii="Cambria" w:hAnsi="Cambria" w:eastAsia="Times New Roman" w:cs="Cambria"/>
                <w:color w:val="000000"/>
                <w:sz w:val="20"/>
                <w:szCs w:val="20"/>
                <w:lang w:val="en-US" w:eastAsia="id-ID"/>
              </w:rPr>
            </w:pPr>
          </w:p>
          <w:p>
            <w:pPr>
              <w:spacing w:after="0" w:line="240" w:lineRule="auto"/>
              <w:jc w:val="both"/>
              <w:rPr>
                <w:rFonts w:hint="default" w:ascii="Cambria" w:hAnsi="Cambria" w:eastAsia="Times New Roman" w:cs="Cambria"/>
                <w:color w:val="000000"/>
                <w:sz w:val="20"/>
                <w:szCs w:val="20"/>
                <w:lang w:val="en-US" w:eastAsia="id-ID"/>
              </w:rPr>
            </w:pPr>
          </w:p>
        </w:tc>
      </w:tr>
    </w:tbl>
    <w:p>
      <w:pPr>
        <w:pStyle w:val="13"/>
        <w:spacing w:after="0" w:line="360" w:lineRule="auto"/>
        <w:ind w:left="0"/>
        <w:jc w:val="both"/>
        <w:rPr>
          <w:rFonts w:hint="default" w:ascii="Cambria" w:hAnsi="Cambria" w:cs="Cambria"/>
          <w:b/>
          <w:sz w:val="24"/>
          <w:szCs w:val="24"/>
        </w:rPr>
      </w:pPr>
    </w:p>
    <w:p>
      <w:pPr>
        <w:pStyle w:val="13"/>
        <w:numPr>
          <w:ilvl w:val="0"/>
          <w:numId w:val="27"/>
        </w:numPr>
        <w:spacing w:after="0" w:line="360" w:lineRule="auto"/>
        <w:ind w:left="851" w:hanging="425"/>
        <w:jc w:val="both"/>
        <w:rPr>
          <w:rFonts w:hint="default" w:ascii="Cambria" w:hAnsi="Cambria" w:cs="Cambria"/>
          <w:b/>
          <w:sz w:val="24"/>
          <w:szCs w:val="24"/>
        </w:rPr>
      </w:pPr>
      <w:r>
        <w:rPr>
          <w:rFonts w:hint="default" w:ascii="Cambria" w:hAnsi="Cambria" w:cs="Cambria"/>
          <w:b/>
          <w:sz w:val="24"/>
          <w:szCs w:val="24"/>
        </w:rPr>
        <w:t>Strategi Kebijakan</w:t>
      </w:r>
    </w:p>
    <w:p>
      <w:pPr>
        <w:pStyle w:val="13"/>
        <w:spacing w:after="0" w:line="360" w:lineRule="auto"/>
        <w:ind w:left="851" w:firstLine="850"/>
        <w:jc w:val="both"/>
        <w:rPr>
          <w:rFonts w:hint="default" w:ascii="Cambria" w:hAnsi="Cambria" w:cs="Cambria"/>
          <w:b/>
          <w:color w:val="auto"/>
          <w:sz w:val="24"/>
          <w:szCs w:val="24"/>
        </w:rPr>
      </w:pPr>
      <w:r>
        <w:rPr>
          <w:rFonts w:hint="default" w:ascii="Cambria" w:hAnsi="Cambria" w:cs="Cambria"/>
          <w:color w:val="auto"/>
          <w:sz w:val="24"/>
          <w:szCs w:val="24"/>
          <w:lang w:val="fi-FI"/>
        </w:rPr>
        <w:t>D</w:t>
      </w:r>
      <w:r>
        <w:rPr>
          <w:rFonts w:hint="default" w:ascii="Cambria" w:hAnsi="Cambria" w:cs="Cambria"/>
          <w:color w:val="auto"/>
          <w:sz w:val="24"/>
          <w:szCs w:val="24"/>
        </w:rPr>
        <w:t xml:space="preserve">alam rangka pencapaian tujuan dan sasaran yang ingin dicapai, maka ditetapkan strategi sebagai berikut : </w:t>
      </w:r>
    </w:p>
    <w:p>
      <w:pPr>
        <w:pStyle w:val="19"/>
        <w:numPr>
          <w:ilvl w:val="0"/>
          <w:numId w:val="33"/>
        </w:numPr>
        <w:spacing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lang w:eastAsia="en-GB"/>
        </w:rPr>
        <w:t>Optimalisasi peranan masyarakat  dan pelaku usaha dalam mengelola SDA menjadi produk yang bermutu yang mampu besaing dalam pasar global.</w:t>
      </w:r>
    </w:p>
    <w:p>
      <w:pPr>
        <w:pStyle w:val="19"/>
        <w:numPr>
          <w:ilvl w:val="0"/>
          <w:numId w:val="33"/>
        </w:numPr>
        <w:spacing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lang w:eastAsia="en-GB"/>
        </w:rPr>
        <w:t>Pengembangan IKM, Koperasi dan UMKM yang maju, berdaulat dalam mendukung perekonomian daerah.</w:t>
      </w:r>
    </w:p>
    <w:p>
      <w:pPr>
        <w:pStyle w:val="19"/>
        <w:numPr>
          <w:ilvl w:val="0"/>
          <w:numId w:val="33"/>
        </w:numPr>
        <w:spacing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lang w:eastAsia="en-GB"/>
        </w:rPr>
        <w:t>Peningkatan kualitas kelembagaan, produktivitas dan daya saing serta kemandirian IKM, Koperasi dan UKM.</w:t>
      </w:r>
    </w:p>
    <w:p>
      <w:pPr>
        <w:pStyle w:val="19"/>
        <w:numPr>
          <w:ilvl w:val="0"/>
          <w:numId w:val="33"/>
        </w:numPr>
        <w:spacing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lang w:eastAsia="en-GB"/>
        </w:rPr>
        <w:t>Peningkatan pasar produk dalam negeri.</w:t>
      </w:r>
    </w:p>
    <w:p>
      <w:pPr>
        <w:pStyle w:val="19"/>
        <w:numPr>
          <w:ilvl w:val="0"/>
          <w:numId w:val="33"/>
        </w:numPr>
        <w:spacing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lang w:eastAsia="en-GB"/>
        </w:rPr>
        <w:t>Stabilisasi harga dan ketersediaan pasokan bahan pangan.</w:t>
      </w:r>
    </w:p>
    <w:p>
      <w:pPr>
        <w:pStyle w:val="19"/>
        <w:numPr>
          <w:ilvl w:val="0"/>
          <w:numId w:val="33"/>
        </w:numPr>
        <w:spacing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lang w:eastAsia="en-GB"/>
        </w:rPr>
        <w:t>Perwujudan konsumen berdaya dan pelaku usaha yang bertanggung jawab.</w:t>
      </w:r>
    </w:p>
    <w:p>
      <w:pPr>
        <w:pStyle w:val="19"/>
        <w:numPr>
          <w:ilvl w:val="0"/>
          <w:numId w:val="33"/>
        </w:numPr>
        <w:spacing w:line="360" w:lineRule="auto"/>
        <w:ind w:left="1276" w:hanging="425"/>
        <w:jc w:val="both"/>
        <w:rPr>
          <w:rFonts w:hint="default" w:ascii="Cambria" w:hAnsi="Cambria" w:cs="Cambria"/>
          <w:color w:val="auto"/>
          <w:sz w:val="24"/>
          <w:szCs w:val="24"/>
        </w:rPr>
      </w:pPr>
      <w:r>
        <w:rPr>
          <w:rFonts w:hint="default" w:ascii="Cambria" w:hAnsi="Cambria" w:cs="Cambria"/>
          <w:color w:val="auto"/>
          <w:sz w:val="24"/>
          <w:szCs w:val="24"/>
        </w:rPr>
        <w:t>Peningkatan kapasitas dan peran kelembagaan ekonomi kerakyatan.</w:t>
      </w:r>
    </w:p>
    <w:p>
      <w:pPr>
        <w:pStyle w:val="19"/>
        <w:spacing w:line="360" w:lineRule="auto"/>
        <w:ind w:left="1560"/>
        <w:jc w:val="both"/>
        <w:rPr>
          <w:rFonts w:hint="default" w:ascii="Cambria" w:hAnsi="Cambria" w:cs="Cambria"/>
          <w:color w:val="auto"/>
          <w:sz w:val="24"/>
          <w:szCs w:val="24"/>
        </w:rPr>
      </w:pPr>
    </w:p>
    <w:p>
      <w:pPr>
        <w:pStyle w:val="19"/>
        <w:spacing w:line="360" w:lineRule="auto"/>
        <w:ind w:left="1560"/>
        <w:jc w:val="both"/>
        <w:rPr>
          <w:rFonts w:hint="default" w:ascii="Cambria" w:hAnsi="Cambria" w:cs="Cambria"/>
          <w:color w:val="auto"/>
          <w:sz w:val="24"/>
          <w:szCs w:val="24"/>
        </w:rPr>
      </w:pPr>
    </w:p>
    <w:p>
      <w:pPr>
        <w:pStyle w:val="19"/>
        <w:spacing w:line="360" w:lineRule="auto"/>
        <w:ind w:left="1560"/>
        <w:jc w:val="both"/>
        <w:rPr>
          <w:rFonts w:hint="default" w:ascii="Cambria" w:hAnsi="Cambria" w:cs="Cambria"/>
          <w:color w:val="auto"/>
          <w:sz w:val="24"/>
          <w:szCs w:val="24"/>
        </w:rPr>
      </w:pPr>
    </w:p>
    <w:p>
      <w:pPr>
        <w:pStyle w:val="13"/>
        <w:tabs>
          <w:tab w:val="left" w:pos="1701"/>
        </w:tabs>
        <w:spacing w:line="360" w:lineRule="auto"/>
        <w:ind w:left="851"/>
        <w:jc w:val="both"/>
        <w:rPr>
          <w:rFonts w:hint="default" w:ascii="Cambria" w:hAnsi="Cambria" w:cs="Cambria"/>
          <w:sz w:val="24"/>
          <w:szCs w:val="24"/>
        </w:rPr>
      </w:pPr>
      <w:r>
        <w:rPr>
          <w:rFonts w:hint="default" w:ascii="Cambria" w:hAnsi="Cambria" w:cs="Cambria"/>
          <w:sz w:val="24"/>
          <w:szCs w:val="24"/>
          <w:lang w:val="fi-FI"/>
        </w:rPr>
        <w:t>Kebijakan yang</w:t>
      </w:r>
      <w:r>
        <w:rPr>
          <w:rFonts w:hint="default" w:ascii="Cambria" w:hAnsi="Cambria" w:cs="Cambria"/>
          <w:sz w:val="24"/>
          <w:szCs w:val="24"/>
        </w:rPr>
        <w:t xml:space="preserve"> ditetapkan sebagai berikut :</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Pengoptimalan dukungan dari pemerintah tingkat atas dalam pembiayaan pembangunan daerah.</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Peningkatan kualitas pengeloalaan sumber-sumber Pendapatan Asli Daerah serta pencegahan terjadinya potensi kebocoran anggaran.</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Peningkatan kualitas pembiayaan pembangunan daerah.</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Peningkatan kualitas manajemen aset daerah.</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Penguatan kelembagaan Pemerintah Daerah.</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 xml:space="preserve">Penerapan manajemen Aparatur Sipil Negara (ASN) yang transparan, kompetitif, dan berbasis </w:t>
      </w:r>
      <w:r>
        <w:rPr>
          <w:rFonts w:hint="default" w:ascii="Cambria" w:hAnsi="Cambria" w:cs="Cambria"/>
          <w:i/>
          <w:iCs/>
          <w:sz w:val="24"/>
          <w:szCs w:val="24"/>
          <w:lang w:val="en-GB" w:eastAsia="en-GB"/>
        </w:rPr>
        <w:t>merit system.</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Perbaikan dan penerapan Sistem dan Prosedur pelayanan public.</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Pembinaan dan peningkatan keberdayaan penduduk miskin.</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Perbaikan income perkapita.</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Pengendalian harga.</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Perluasan lapangan kerja dan peningkatan pendapatan per kapita.</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Pengoptimalan dukungan terhadap pengembangan kepariwisataan daerah.</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 xml:space="preserve">Peningkatan promosi dan pengembangan obyek wisata </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Peningkatan sadar wisata.</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Peningkatan dukungan kerjasama berbagai pihak terkait penyediaan infrastruktur utama pendukung kegiatan distribusi logistik pada kawasan yang telah ditetapkan (bagian utara Pulau Selayar).</w:t>
      </w:r>
    </w:p>
    <w:p>
      <w:pPr>
        <w:pStyle w:val="13"/>
        <w:numPr>
          <w:ilvl w:val="3"/>
          <w:numId w:val="34"/>
        </w:numPr>
        <w:spacing w:after="0" w:line="360" w:lineRule="auto"/>
        <w:ind w:left="1276" w:hanging="425"/>
        <w:jc w:val="both"/>
        <w:rPr>
          <w:rFonts w:hint="default" w:ascii="Cambria" w:hAnsi="Cambria" w:cs="Cambria"/>
          <w:sz w:val="24"/>
          <w:szCs w:val="24"/>
        </w:rPr>
      </w:pPr>
      <w:r>
        <w:rPr>
          <w:rFonts w:hint="default" w:ascii="Cambria" w:hAnsi="Cambria" w:cs="Cambria"/>
          <w:sz w:val="24"/>
          <w:szCs w:val="24"/>
          <w:lang w:val="en-GB" w:eastAsia="en-GB"/>
        </w:rPr>
        <w:t>Pengoptimalan dukungan dan fasilitasi pengembangan ekonomi kerakyatan.</w:t>
      </w:r>
    </w:p>
    <w:p>
      <w:pPr>
        <w:pStyle w:val="13"/>
        <w:spacing w:after="0" w:line="360" w:lineRule="auto"/>
        <w:ind w:left="0" w:leftChars="0" w:firstLine="0" w:firstLineChars="0"/>
        <w:jc w:val="both"/>
        <w:rPr>
          <w:rFonts w:hint="default" w:ascii="Cambria" w:hAnsi="Cambria" w:cs="Cambria"/>
          <w:sz w:val="24"/>
          <w:szCs w:val="24"/>
        </w:rPr>
      </w:pPr>
    </w:p>
    <w:p>
      <w:pPr>
        <w:pStyle w:val="13"/>
        <w:spacing w:after="0" w:line="360" w:lineRule="auto"/>
        <w:ind w:left="0" w:leftChars="0" w:firstLine="0" w:firstLineChars="0"/>
        <w:jc w:val="both"/>
        <w:rPr>
          <w:rFonts w:hint="default" w:ascii="Cambria" w:hAnsi="Cambria" w:cs="Cambria"/>
          <w:sz w:val="24"/>
          <w:szCs w:val="24"/>
        </w:rPr>
      </w:pPr>
    </w:p>
    <w:p>
      <w:pPr>
        <w:pStyle w:val="13"/>
        <w:spacing w:after="0" w:line="360" w:lineRule="auto"/>
        <w:ind w:left="0" w:leftChars="0" w:firstLine="0" w:firstLineChars="0"/>
        <w:jc w:val="both"/>
        <w:rPr>
          <w:rFonts w:hint="default" w:ascii="Cambria" w:hAnsi="Cambria" w:cs="Cambria"/>
          <w:sz w:val="24"/>
          <w:szCs w:val="24"/>
        </w:rPr>
      </w:pPr>
    </w:p>
    <w:p>
      <w:pPr>
        <w:pStyle w:val="13"/>
        <w:spacing w:after="0" w:line="360" w:lineRule="auto"/>
        <w:ind w:left="0" w:leftChars="0" w:firstLine="0" w:firstLineChars="0"/>
        <w:jc w:val="both"/>
        <w:rPr>
          <w:rFonts w:hint="default" w:ascii="Cambria" w:hAnsi="Cambria" w:cs="Cambria"/>
          <w:sz w:val="24"/>
          <w:szCs w:val="24"/>
        </w:rPr>
      </w:pPr>
    </w:p>
    <w:p>
      <w:pPr>
        <w:pStyle w:val="13"/>
        <w:spacing w:after="0" w:line="360" w:lineRule="auto"/>
        <w:ind w:left="0" w:leftChars="0" w:firstLine="0" w:firstLineChars="0"/>
        <w:jc w:val="both"/>
        <w:rPr>
          <w:rFonts w:hint="default" w:ascii="Cambria" w:hAnsi="Cambria" w:cs="Cambria"/>
          <w:sz w:val="24"/>
          <w:szCs w:val="24"/>
        </w:rPr>
      </w:pPr>
    </w:p>
    <w:p>
      <w:pPr>
        <w:pStyle w:val="13"/>
        <w:numPr>
          <w:ilvl w:val="3"/>
          <w:numId w:val="23"/>
        </w:numPr>
        <w:spacing w:after="0" w:line="360" w:lineRule="auto"/>
        <w:ind w:left="426" w:hanging="426"/>
        <w:rPr>
          <w:rFonts w:hint="default" w:ascii="Cambria" w:hAnsi="Cambria" w:cs="Cambria"/>
          <w:b/>
          <w:sz w:val="24"/>
          <w:szCs w:val="24"/>
        </w:rPr>
      </w:pPr>
      <w:r>
        <w:rPr>
          <w:rFonts w:hint="default" w:ascii="Cambria" w:hAnsi="Cambria" w:cs="Cambria"/>
          <w:b/>
          <w:sz w:val="24"/>
          <w:szCs w:val="24"/>
        </w:rPr>
        <w:t>INDIKATOR KINERJA UTAMA</w:t>
      </w:r>
    </w:p>
    <w:p>
      <w:pPr>
        <w:pStyle w:val="13"/>
        <w:spacing w:after="0" w:line="360" w:lineRule="auto"/>
        <w:ind w:left="426" w:firstLine="992"/>
        <w:jc w:val="both"/>
        <w:rPr>
          <w:rFonts w:hint="default" w:ascii="Cambria" w:hAnsi="Cambria" w:cs="Cambria"/>
          <w:sz w:val="24"/>
          <w:szCs w:val="24"/>
          <w:shd w:val="clear" w:color="auto" w:fill="FFFFFF"/>
        </w:rPr>
      </w:pPr>
      <w:r>
        <w:rPr>
          <w:rFonts w:hint="default" w:ascii="Cambria" w:hAnsi="Cambria" w:cs="Cambria"/>
          <w:sz w:val="24"/>
          <w:szCs w:val="24"/>
          <w:lang w:val="fi-FI"/>
        </w:rPr>
        <w:t xml:space="preserve">Indikator Kinerja Utama Dinas Perinsutrian, Perdagangan, Koperasi Usaha Kecil dan Menengah tahun 2020 diadakan perubahan sesuai </w:t>
      </w:r>
      <w:r>
        <w:rPr>
          <w:rFonts w:hint="default" w:ascii="Cambria" w:hAnsi="Cambria" w:cs="Cambria"/>
          <w:sz w:val="24"/>
          <w:szCs w:val="24"/>
        </w:rPr>
        <w:t xml:space="preserve">Peraturan Bupati Kepulauan Selayar   Nomor 74 Tahun 2020 tentang Kedudukan, Susunan Organisasi, Tugas dan Fungsi sera Tata Kerja Dinas </w:t>
      </w:r>
      <w:r>
        <w:rPr>
          <w:rFonts w:hint="default" w:ascii="Cambria" w:hAnsi="Cambria" w:cs="Cambria"/>
          <w:sz w:val="24"/>
          <w:szCs w:val="24"/>
          <w:shd w:val="clear" w:color="auto" w:fill="FFFFFF"/>
        </w:rPr>
        <w:t>Perindustrian, Perdagangan, Koperasi, Usaha Kecil dan Menengah Kabupaten Kepulauan Selayar yang semula 6 urusan yakni, Urusan Perindustrian, Urusan Perdagangan, Urusan Kemetrologian, Urusan, Koperasi dan Urusan Usaha Kecil Menengah menjadi 3 urusan yakni Urusan Perindustrian, Urusan Perdagangan, Urusan Koperasi dan Usaha Kecil Menengah.</w:t>
      </w:r>
    </w:p>
    <w:p>
      <w:pPr>
        <w:pStyle w:val="13"/>
        <w:spacing w:after="0" w:line="360" w:lineRule="auto"/>
        <w:ind w:left="426" w:firstLine="992"/>
        <w:jc w:val="both"/>
        <w:rPr>
          <w:rFonts w:hint="default" w:ascii="Cambria" w:hAnsi="Cambria" w:cs="Cambria"/>
          <w:sz w:val="24"/>
          <w:szCs w:val="24"/>
          <w:shd w:val="clear" w:color="auto" w:fill="FFFFFF"/>
        </w:rPr>
      </w:pPr>
    </w:p>
    <w:p>
      <w:pPr>
        <w:spacing w:after="0" w:line="360" w:lineRule="auto"/>
        <w:jc w:val="center"/>
        <w:rPr>
          <w:rFonts w:hint="default" w:ascii="Cambria" w:hAnsi="Cambria" w:cs="Cambria"/>
          <w:b/>
          <w:sz w:val="24"/>
          <w:szCs w:val="24"/>
          <w:lang w:val="fi-FI"/>
        </w:rPr>
      </w:pPr>
      <w:r>
        <w:rPr>
          <w:rFonts w:hint="default" w:ascii="Cambria" w:hAnsi="Cambria" w:cs="Cambria"/>
          <w:b/>
          <w:sz w:val="24"/>
          <w:szCs w:val="24"/>
          <w:lang w:val="fi-FI"/>
        </w:rPr>
        <w:t>INDIKATOR KINERJA UTAMA</w:t>
      </w:r>
    </w:p>
    <w:p>
      <w:pPr>
        <w:spacing w:after="0" w:line="360" w:lineRule="auto"/>
        <w:jc w:val="center"/>
        <w:rPr>
          <w:rFonts w:hint="default" w:ascii="Cambria" w:hAnsi="Cambria" w:cs="Cambria"/>
          <w:b/>
          <w:sz w:val="24"/>
          <w:szCs w:val="24"/>
        </w:rPr>
      </w:pPr>
      <w:r>
        <w:rPr>
          <w:rFonts w:hint="default" w:ascii="Cambria" w:hAnsi="Cambria" w:cs="Cambria"/>
          <w:b/>
          <w:sz w:val="24"/>
          <w:szCs w:val="24"/>
          <w:lang w:val="fi-FI"/>
        </w:rPr>
        <w:t>TAHUN 2</w:t>
      </w:r>
      <w:r>
        <w:rPr>
          <w:rFonts w:hint="default" w:ascii="Cambria" w:hAnsi="Cambria" w:cs="Cambria"/>
          <w:b/>
          <w:sz w:val="24"/>
          <w:szCs w:val="24"/>
        </w:rPr>
        <w:t>021-2026</w:t>
      </w:r>
    </w:p>
    <w:p>
      <w:pPr>
        <w:spacing w:after="0" w:line="360" w:lineRule="auto"/>
        <w:jc w:val="center"/>
        <w:rPr>
          <w:rFonts w:hint="default" w:ascii="Cambria" w:hAnsi="Cambria" w:cs="Cambria"/>
          <w:b/>
          <w:sz w:val="24"/>
          <w:szCs w:val="24"/>
          <w:lang w:val="fi-FI"/>
        </w:rPr>
      </w:pPr>
    </w:p>
    <w:tbl>
      <w:tblPr>
        <w:tblStyle w:val="3"/>
        <w:tblW w:w="8311" w:type="dxa"/>
        <w:tblInd w:w="0" w:type="dxa"/>
        <w:tblLayout w:type="fixed"/>
        <w:tblCellMar>
          <w:top w:w="0" w:type="dxa"/>
          <w:left w:w="108" w:type="dxa"/>
          <w:bottom w:w="0" w:type="dxa"/>
          <w:right w:w="108" w:type="dxa"/>
        </w:tblCellMar>
      </w:tblPr>
      <w:tblGrid>
        <w:gridCol w:w="914"/>
        <w:gridCol w:w="518"/>
        <w:gridCol w:w="6879"/>
      </w:tblGrid>
      <w:tr>
        <w:tblPrEx>
          <w:tblCellMar>
            <w:top w:w="0" w:type="dxa"/>
            <w:left w:w="108" w:type="dxa"/>
            <w:bottom w:w="0" w:type="dxa"/>
            <w:right w:w="108" w:type="dxa"/>
          </w:tblCellMar>
        </w:tblPrEx>
        <w:trPr>
          <w:trHeight w:val="329" w:hRule="atLeast"/>
        </w:trPr>
        <w:tc>
          <w:tcPr>
            <w:tcW w:w="1432" w:type="dxa"/>
            <w:gridSpan w:val="2"/>
            <w:tcBorders>
              <w:top w:val="nil"/>
              <w:left w:val="nil"/>
              <w:bottom w:val="nil"/>
              <w:right w:val="nil"/>
            </w:tcBorders>
            <w:shd w:val="clear" w:color="auto" w:fill="auto"/>
            <w:noWrap/>
            <w:vAlign w:val="bottom"/>
          </w:tcPr>
          <w:p>
            <w:pPr>
              <w:rPr>
                <w:rFonts w:hint="default" w:ascii="Cambria" w:hAnsi="Cambria" w:cs="Cambria"/>
                <w:sz w:val="20"/>
                <w:szCs w:val="20"/>
              </w:rPr>
            </w:pPr>
            <w:r>
              <w:rPr>
                <w:rFonts w:hint="default" w:ascii="Cambria" w:hAnsi="Cambria" w:cs="Cambria"/>
                <w:sz w:val="20"/>
                <w:szCs w:val="20"/>
              </w:rPr>
              <w:t xml:space="preserve">Nama Organisasi </w:t>
            </w:r>
          </w:p>
        </w:tc>
        <w:tc>
          <w:tcPr>
            <w:tcW w:w="6879" w:type="dxa"/>
            <w:tcBorders>
              <w:top w:val="nil"/>
              <w:left w:val="nil"/>
              <w:bottom w:val="nil"/>
              <w:right w:val="nil"/>
            </w:tcBorders>
            <w:shd w:val="clear" w:color="auto" w:fill="auto"/>
            <w:noWrap/>
            <w:vAlign w:val="bottom"/>
          </w:tcPr>
          <w:p>
            <w:pPr>
              <w:jc w:val="both"/>
              <w:rPr>
                <w:rFonts w:hint="default" w:ascii="Cambria" w:hAnsi="Cambria" w:cs="Cambria"/>
                <w:sz w:val="20"/>
                <w:szCs w:val="20"/>
              </w:rPr>
            </w:pPr>
            <w:r>
              <w:rPr>
                <w:rFonts w:hint="default" w:ascii="Cambria" w:hAnsi="Cambria" w:cs="Cambria"/>
                <w:sz w:val="20"/>
                <w:szCs w:val="20"/>
              </w:rPr>
              <w:t>: Dinas Perindustrian, Perdagangan, Koperasi dan Usaha Kecil Menengah Kabupaten Kepulauan Selayar</w:t>
            </w:r>
          </w:p>
        </w:tc>
      </w:tr>
      <w:tr>
        <w:tblPrEx>
          <w:tblCellMar>
            <w:top w:w="0" w:type="dxa"/>
            <w:left w:w="108" w:type="dxa"/>
            <w:bottom w:w="0" w:type="dxa"/>
            <w:right w:w="108" w:type="dxa"/>
          </w:tblCellMar>
        </w:tblPrEx>
        <w:trPr>
          <w:trHeight w:val="325" w:hRule="atLeast"/>
        </w:trPr>
        <w:tc>
          <w:tcPr>
            <w:tcW w:w="914" w:type="dxa"/>
            <w:tcBorders>
              <w:top w:val="nil"/>
              <w:left w:val="nil"/>
              <w:bottom w:val="nil"/>
              <w:right w:val="nil"/>
            </w:tcBorders>
            <w:shd w:val="clear" w:color="auto" w:fill="auto"/>
            <w:noWrap/>
            <w:vAlign w:val="bottom"/>
          </w:tcPr>
          <w:p>
            <w:pPr>
              <w:rPr>
                <w:rFonts w:hint="default" w:ascii="Cambria" w:hAnsi="Cambria" w:cs="Cambria"/>
                <w:sz w:val="20"/>
                <w:szCs w:val="20"/>
              </w:rPr>
            </w:pPr>
            <w:r>
              <w:rPr>
                <w:rFonts w:hint="default" w:ascii="Cambria" w:hAnsi="Cambria" w:cs="Cambria"/>
                <w:sz w:val="20"/>
                <w:szCs w:val="20"/>
              </w:rPr>
              <w:t>Tugas</w:t>
            </w:r>
          </w:p>
          <w:p>
            <w:pPr>
              <w:rPr>
                <w:rFonts w:hint="default" w:ascii="Cambria" w:hAnsi="Cambria" w:cs="Cambria"/>
                <w:sz w:val="20"/>
                <w:szCs w:val="20"/>
              </w:rPr>
            </w:pPr>
          </w:p>
        </w:tc>
        <w:tc>
          <w:tcPr>
            <w:tcW w:w="518" w:type="dxa"/>
            <w:tcBorders>
              <w:top w:val="nil"/>
              <w:left w:val="nil"/>
              <w:bottom w:val="nil"/>
              <w:right w:val="nil"/>
            </w:tcBorders>
            <w:shd w:val="clear" w:color="auto" w:fill="auto"/>
            <w:noWrap/>
            <w:vAlign w:val="bottom"/>
          </w:tcPr>
          <w:p>
            <w:pPr>
              <w:rPr>
                <w:rFonts w:hint="default" w:ascii="Cambria" w:hAnsi="Cambria" w:cs="Cambria"/>
                <w:sz w:val="20"/>
                <w:szCs w:val="20"/>
              </w:rPr>
            </w:pPr>
          </w:p>
        </w:tc>
        <w:tc>
          <w:tcPr>
            <w:tcW w:w="6879" w:type="dxa"/>
            <w:tcBorders>
              <w:top w:val="nil"/>
              <w:left w:val="nil"/>
              <w:bottom w:val="nil"/>
              <w:right w:val="nil"/>
            </w:tcBorders>
            <w:shd w:val="clear" w:color="auto" w:fill="auto"/>
            <w:noWrap/>
            <w:vAlign w:val="bottom"/>
          </w:tcPr>
          <w:p>
            <w:pPr>
              <w:jc w:val="both"/>
              <w:rPr>
                <w:rFonts w:hint="default" w:ascii="Cambria" w:hAnsi="Cambria" w:cs="Cambria"/>
                <w:sz w:val="20"/>
                <w:szCs w:val="20"/>
              </w:rPr>
            </w:pPr>
            <w:r>
              <w:rPr>
                <w:rFonts w:hint="default" w:ascii="Cambria" w:hAnsi="Cambria" w:cs="Cambria"/>
                <w:sz w:val="20"/>
                <w:szCs w:val="20"/>
              </w:rPr>
              <w:t xml:space="preserve">: Melaksanakan urusan pemerintahan daerah di bidang industri, perdagangan, koperasi dan usaha kecil   </w:t>
            </w:r>
          </w:p>
          <w:p>
            <w:pPr>
              <w:jc w:val="both"/>
              <w:rPr>
                <w:rFonts w:hint="default" w:ascii="Cambria" w:hAnsi="Cambria" w:cs="Cambria"/>
                <w:sz w:val="20"/>
                <w:szCs w:val="20"/>
              </w:rPr>
            </w:pPr>
            <w:r>
              <w:rPr>
                <w:rFonts w:hint="default" w:ascii="Cambria" w:hAnsi="Cambria" w:cs="Cambria"/>
                <w:sz w:val="20"/>
                <w:szCs w:val="20"/>
              </w:rPr>
              <w:t xml:space="preserve">  menengah yang menjadi kewenangan daerah </w:t>
            </w:r>
          </w:p>
        </w:tc>
      </w:tr>
      <w:tr>
        <w:tblPrEx>
          <w:tblCellMar>
            <w:top w:w="0" w:type="dxa"/>
            <w:left w:w="108" w:type="dxa"/>
            <w:bottom w:w="0" w:type="dxa"/>
            <w:right w:w="108" w:type="dxa"/>
          </w:tblCellMar>
        </w:tblPrEx>
        <w:trPr>
          <w:trHeight w:val="229" w:hRule="atLeast"/>
        </w:trPr>
        <w:tc>
          <w:tcPr>
            <w:tcW w:w="914" w:type="dxa"/>
            <w:tcBorders>
              <w:top w:val="nil"/>
              <w:left w:val="nil"/>
              <w:bottom w:val="nil"/>
              <w:right w:val="nil"/>
            </w:tcBorders>
            <w:shd w:val="clear" w:color="auto" w:fill="auto"/>
            <w:noWrap/>
            <w:vAlign w:val="bottom"/>
          </w:tcPr>
          <w:p>
            <w:pPr>
              <w:rPr>
                <w:rFonts w:hint="default" w:ascii="Cambria" w:hAnsi="Cambria" w:cs="Cambria"/>
                <w:sz w:val="20"/>
                <w:szCs w:val="20"/>
              </w:rPr>
            </w:pPr>
            <w:r>
              <w:rPr>
                <w:rFonts w:hint="default" w:ascii="Cambria" w:hAnsi="Cambria" w:cs="Cambria"/>
                <w:sz w:val="20"/>
                <w:szCs w:val="20"/>
              </w:rPr>
              <w:t>Fungsi</w:t>
            </w:r>
          </w:p>
        </w:tc>
        <w:tc>
          <w:tcPr>
            <w:tcW w:w="518" w:type="dxa"/>
            <w:tcBorders>
              <w:top w:val="nil"/>
              <w:left w:val="nil"/>
              <w:bottom w:val="nil"/>
              <w:right w:val="nil"/>
            </w:tcBorders>
            <w:shd w:val="clear" w:color="auto" w:fill="auto"/>
            <w:noWrap/>
            <w:vAlign w:val="bottom"/>
          </w:tcPr>
          <w:p>
            <w:pPr>
              <w:rPr>
                <w:rFonts w:hint="default" w:ascii="Cambria" w:hAnsi="Cambria" w:cs="Cambria"/>
                <w:sz w:val="20"/>
                <w:szCs w:val="20"/>
              </w:rPr>
            </w:pPr>
          </w:p>
        </w:tc>
        <w:tc>
          <w:tcPr>
            <w:tcW w:w="6879" w:type="dxa"/>
            <w:tcBorders>
              <w:top w:val="nil"/>
              <w:left w:val="nil"/>
              <w:bottom w:val="nil"/>
              <w:right w:val="nil"/>
            </w:tcBorders>
            <w:shd w:val="clear" w:color="auto" w:fill="auto"/>
            <w:noWrap/>
            <w:vAlign w:val="bottom"/>
          </w:tcPr>
          <w:p>
            <w:pPr>
              <w:pStyle w:val="13"/>
              <w:numPr>
                <w:ilvl w:val="0"/>
                <w:numId w:val="35"/>
              </w:numPr>
              <w:ind w:left="401" w:hanging="284"/>
              <w:jc w:val="both"/>
              <w:rPr>
                <w:rFonts w:hint="default" w:ascii="Cambria" w:hAnsi="Cambria" w:cs="Cambria"/>
                <w:sz w:val="20"/>
                <w:szCs w:val="20"/>
              </w:rPr>
            </w:pPr>
            <w:r>
              <w:rPr>
                <w:rFonts w:hint="default" w:ascii="Cambria" w:hAnsi="Cambria" w:cs="Cambria"/>
                <w:sz w:val="20"/>
                <w:szCs w:val="20"/>
              </w:rPr>
              <w:t>Perumusan kebijakan teknis di bidang industri, perdagangan, koperasi dan usaha kecil menengah</w:t>
            </w:r>
          </w:p>
        </w:tc>
      </w:tr>
      <w:tr>
        <w:tblPrEx>
          <w:tblCellMar>
            <w:top w:w="0" w:type="dxa"/>
            <w:left w:w="108" w:type="dxa"/>
            <w:bottom w:w="0" w:type="dxa"/>
            <w:right w:w="108" w:type="dxa"/>
          </w:tblCellMar>
        </w:tblPrEx>
        <w:trPr>
          <w:trHeight w:val="643" w:hRule="atLeast"/>
        </w:trPr>
        <w:tc>
          <w:tcPr>
            <w:tcW w:w="914" w:type="dxa"/>
            <w:tcBorders>
              <w:top w:val="nil"/>
              <w:left w:val="nil"/>
              <w:bottom w:val="nil"/>
              <w:right w:val="nil"/>
            </w:tcBorders>
            <w:shd w:val="clear" w:color="auto" w:fill="auto"/>
            <w:noWrap/>
            <w:vAlign w:val="bottom"/>
          </w:tcPr>
          <w:p>
            <w:pPr>
              <w:rPr>
                <w:rFonts w:hint="default" w:ascii="Cambria" w:hAnsi="Cambria" w:cs="Cambria"/>
                <w:sz w:val="20"/>
                <w:szCs w:val="20"/>
              </w:rPr>
            </w:pPr>
          </w:p>
        </w:tc>
        <w:tc>
          <w:tcPr>
            <w:tcW w:w="518" w:type="dxa"/>
            <w:tcBorders>
              <w:top w:val="nil"/>
              <w:left w:val="nil"/>
              <w:bottom w:val="nil"/>
              <w:right w:val="nil"/>
            </w:tcBorders>
            <w:shd w:val="clear" w:color="auto" w:fill="auto"/>
            <w:noWrap/>
            <w:vAlign w:val="bottom"/>
          </w:tcPr>
          <w:p>
            <w:pPr>
              <w:rPr>
                <w:rFonts w:hint="default" w:ascii="Cambria" w:hAnsi="Cambria" w:cs="Cambria"/>
                <w:sz w:val="20"/>
                <w:szCs w:val="20"/>
              </w:rPr>
            </w:pPr>
          </w:p>
        </w:tc>
        <w:tc>
          <w:tcPr>
            <w:tcW w:w="6879" w:type="dxa"/>
            <w:tcBorders>
              <w:top w:val="nil"/>
              <w:left w:val="nil"/>
              <w:bottom w:val="nil"/>
              <w:right w:val="nil"/>
            </w:tcBorders>
            <w:shd w:val="clear" w:color="auto" w:fill="auto"/>
            <w:noWrap/>
            <w:vAlign w:val="bottom"/>
          </w:tcPr>
          <w:p>
            <w:pPr>
              <w:pStyle w:val="13"/>
              <w:numPr>
                <w:ilvl w:val="0"/>
                <w:numId w:val="35"/>
              </w:numPr>
              <w:ind w:left="401" w:hanging="284"/>
              <w:jc w:val="both"/>
              <w:rPr>
                <w:rFonts w:hint="default" w:ascii="Cambria" w:hAnsi="Cambria" w:cs="Cambria"/>
                <w:sz w:val="20"/>
                <w:szCs w:val="20"/>
              </w:rPr>
            </w:pPr>
            <w:r>
              <w:rPr>
                <w:rFonts w:hint="default" w:ascii="Cambria" w:hAnsi="Cambria" w:cs="Cambria"/>
                <w:sz w:val="20"/>
                <w:szCs w:val="20"/>
              </w:rPr>
              <w:t xml:space="preserve"> Pengendalian Kebijakan teknis di bidang  industri, perdagangan, koperasi dan usaha kecil menengah</w:t>
            </w:r>
          </w:p>
        </w:tc>
      </w:tr>
      <w:tr>
        <w:tblPrEx>
          <w:tblCellMar>
            <w:top w:w="0" w:type="dxa"/>
            <w:left w:w="108" w:type="dxa"/>
            <w:bottom w:w="0" w:type="dxa"/>
            <w:right w:w="108" w:type="dxa"/>
          </w:tblCellMar>
        </w:tblPrEx>
        <w:trPr>
          <w:trHeight w:val="984" w:hRule="atLeast"/>
        </w:trPr>
        <w:tc>
          <w:tcPr>
            <w:tcW w:w="914" w:type="dxa"/>
            <w:tcBorders>
              <w:top w:val="nil"/>
              <w:left w:val="nil"/>
              <w:bottom w:val="nil"/>
              <w:right w:val="nil"/>
            </w:tcBorders>
            <w:shd w:val="clear" w:color="auto" w:fill="auto"/>
            <w:noWrap/>
            <w:vAlign w:val="bottom"/>
          </w:tcPr>
          <w:p>
            <w:pPr>
              <w:rPr>
                <w:rFonts w:hint="default" w:ascii="Cambria" w:hAnsi="Cambria" w:cs="Cambria"/>
                <w:sz w:val="20"/>
                <w:szCs w:val="20"/>
              </w:rPr>
            </w:pPr>
          </w:p>
        </w:tc>
        <w:tc>
          <w:tcPr>
            <w:tcW w:w="518" w:type="dxa"/>
            <w:tcBorders>
              <w:top w:val="nil"/>
              <w:left w:val="nil"/>
              <w:bottom w:val="nil"/>
              <w:right w:val="nil"/>
            </w:tcBorders>
            <w:shd w:val="clear" w:color="auto" w:fill="auto"/>
            <w:noWrap/>
            <w:vAlign w:val="bottom"/>
          </w:tcPr>
          <w:p>
            <w:pPr>
              <w:rPr>
                <w:rFonts w:hint="default" w:ascii="Cambria" w:hAnsi="Cambria" w:cs="Cambria"/>
                <w:sz w:val="20"/>
                <w:szCs w:val="20"/>
              </w:rPr>
            </w:pPr>
          </w:p>
        </w:tc>
        <w:tc>
          <w:tcPr>
            <w:tcW w:w="6879" w:type="dxa"/>
            <w:tcBorders>
              <w:top w:val="nil"/>
              <w:left w:val="nil"/>
              <w:bottom w:val="nil"/>
              <w:right w:val="nil"/>
            </w:tcBorders>
            <w:shd w:val="clear" w:color="auto" w:fill="auto"/>
            <w:noWrap/>
            <w:vAlign w:val="bottom"/>
          </w:tcPr>
          <w:p>
            <w:pPr>
              <w:pStyle w:val="13"/>
              <w:numPr>
                <w:ilvl w:val="0"/>
                <w:numId w:val="35"/>
              </w:numPr>
              <w:ind w:left="401" w:hanging="279"/>
              <w:jc w:val="both"/>
              <w:rPr>
                <w:rFonts w:hint="default" w:ascii="Cambria" w:hAnsi="Cambria" w:cs="Cambria"/>
                <w:sz w:val="20"/>
                <w:szCs w:val="20"/>
              </w:rPr>
            </w:pPr>
            <w:r>
              <w:rPr>
                <w:rFonts w:hint="default" w:ascii="Cambria" w:hAnsi="Cambria" w:cs="Cambria"/>
                <w:sz w:val="20"/>
                <w:szCs w:val="20"/>
              </w:rPr>
              <w:t>Penyelenggaraan urusan pemerintahan dan pelayanan umum di bidang  industri, perdagangan, koperasi dan usaha kecil menengah.</w:t>
            </w:r>
          </w:p>
        </w:tc>
      </w:tr>
      <w:tr>
        <w:tblPrEx>
          <w:tblCellMar>
            <w:top w:w="0" w:type="dxa"/>
            <w:left w:w="108" w:type="dxa"/>
            <w:bottom w:w="0" w:type="dxa"/>
            <w:right w:w="108" w:type="dxa"/>
          </w:tblCellMar>
        </w:tblPrEx>
        <w:trPr>
          <w:trHeight w:val="329" w:hRule="atLeast"/>
        </w:trPr>
        <w:tc>
          <w:tcPr>
            <w:tcW w:w="914" w:type="dxa"/>
            <w:tcBorders>
              <w:top w:val="nil"/>
              <w:left w:val="nil"/>
              <w:bottom w:val="nil"/>
              <w:right w:val="nil"/>
            </w:tcBorders>
            <w:shd w:val="clear" w:color="auto" w:fill="auto"/>
            <w:noWrap/>
            <w:vAlign w:val="bottom"/>
          </w:tcPr>
          <w:p>
            <w:pPr>
              <w:rPr>
                <w:rFonts w:hint="default" w:ascii="Cambria" w:hAnsi="Cambria" w:cs="Cambria"/>
                <w:sz w:val="20"/>
                <w:szCs w:val="20"/>
              </w:rPr>
            </w:pPr>
          </w:p>
        </w:tc>
        <w:tc>
          <w:tcPr>
            <w:tcW w:w="518" w:type="dxa"/>
            <w:tcBorders>
              <w:top w:val="nil"/>
              <w:left w:val="nil"/>
              <w:bottom w:val="nil"/>
              <w:right w:val="nil"/>
            </w:tcBorders>
            <w:shd w:val="clear" w:color="auto" w:fill="auto"/>
            <w:noWrap/>
            <w:vAlign w:val="bottom"/>
          </w:tcPr>
          <w:p>
            <w:pPr>
              <w:rPr>
                <w:rFonts w:hint="default" w:ascii="Cambria" w:hAnsi="Cambria" w:cs="Cambria"/>
                <w:sz w:val="20"/>
                <w:szCs w:val="20"/>
              </w:rPr>
            </w:pPr>
          </w:p>
        </w:tc>
        <w:tc>
          <w:tcPr>
            <w:tcW w:w="6879" w:type="dxa"/>
            <w:tcBorders>
              <w:top w:val="nil"/>
              <w:left w:val="nil"/>
              <w:bottom w:val="nil"/>
              <w:right w:val="nil"/>
            </w:tcBorders>
            <w:shd w:val="clear" w:color="auto" w:fill="auto"/>
            <w:noWrap/>
            <w:vAlign w:val="bottom"/>
          </w:tcPr>
          <w:p>
            <w:pPr>
              <w:pStyle w:val="13"/>
              <w:numPr>
                <w:ilvl w:val="0"/>
                <w:numId w:val="35"/>
              </w:numPr>
              <w:ind w:left="401" w:hanging="279"/>
              <w:jc w:val="both"/>
              <w:rPr>
                <w:rFonts w:hint="default" w:ascii="Cambria" w:hAnsi="Cambria" w:cs="Cambria"/>
                <w:sz w:val="20"/>
                <w:szCs w:val="20"/>
              </w:rPr>
            </w:pPr>
            <w:r>
              <w:rPr>
                <w:rFonts w:hint="default" w:ascii="Cambria" w:hAnsi="Cambria" w:cs="Cambria"/>
                <w:sz w:val="20"/>
                <w:szCs w:val="20"/>
              </w:rPr>
              <w:t>Pembinaan dan pelaksanaan tugas di bidang  industri, perdagangan, koperasi dan usaha kecil menengah.</w:t>
            </w:r>
          </w:p>
        </w:tc>
      </w:tr>
      <w:tr>
        <w:tblPrEx>
          <w:tblCellMar>
            <w:top w:w="0" w:type="dxa"/>
            <w:left w:w="108" w:type="dxa"/>
            <w:bottom w:w="0" w:type="dxa"/>
            <w:right w:w="108" w:type="dxa"/>
          </w:tblCellMar>
        </w:tblPrEx>
        <w:trPr>
          <w:trHeight w:val="514" w:hRule="atLeast"/>
        </w:trPr>
        <w:tc>
          <w:tcPr>
            <w:tcW w:w="914" w:type="dxa"/>
            <w:tcBorders>
              <w:top w:val="nil"/>
              <w:left w:val="nil"/>
              <w:bottom w:val="nil"/>
              <w:right w:val="nil"/>
            </w:tcBorders>
            <w:shd w:val="clear" w:color="auto" w:fill="auto"/>
            <w:noWrap/>
            <w:vAlign w:val="bottom"/>
          </w:tcPr>
          <w:p>
            <w:pPr>
              <w:rPr>
                <w:rFonts w:hint="default" w:ascii="Cambria" w:hAnsi="Cambria" w:cs="Cambria"/>
                <w:sz w:val="20"/>
                <w:szCs w:val="20"/>
              </w:rPr>
            </w:pPr>
          </w:p>
        </w:tc>
        <w:tc>
          <w:tcPr>
            <w:tcW w:w="518" w:type="dxa"/>
            <w:tcBorders>
              <w:top w:val="nil"/>
              <w:left w:val="nil"/>
              <w:bottom w:val="nil"/>
              <w:right w:val="nil"/>
            </w:tcBorders>
            <w:shd w:val="clear" w:color="auto" w:fill="auto"/>
            <w:noWrap/>
            <w:vAlign w:val="bottom"/>
          </w:tcPr>
          <w:p>
            <w:pPr>
              <w:rPr>
                <w:rFonts w:hint="default" w:ascii="Cambria" w:hAnsi="Cambria" w:cs="Cambria"/>
                <w:sz w:val="20"/>
                <w:szCs w:val="20"/>
              </w:rPr>
            </w:pPr>
          </w:p>
        </w:tc>
        <w:tc>
          <w:tcPr>
            <w:tcW w:w="6879" w:type="dxa"/>
            <w:tcBorders>
              <w:top w:val="nil"/>
              <w:left w:val="nil"/>
              <w:bottom w:val="nil"/>
              <w:right w:val="nil"/>
            </w:tcBorders>
            <w:shd w:val="clear" w:color="auto" w:fill="auto"/>
            <w:noWrap/>
            <w:vAlign w:val="bottom"/>
          </w:tcPr>
          <w:p>
            <w:pPr>
              <w:pStyle w:val="13"/>
              <w:numPr>
                <w:ilvl w:val="0"/>
                <w:numId w:val="35"/>
              </w:numPr>
              <w:ind w:left="401" w:hanging="279"/>
              <w:rPr>
                <w:rFonts w:hint="default" w:ascii="Cambria" w:hAnsi="Cambria" w:cs="Cambria"/>
                <w:sz w:val="20"/>
                <w:szCs w:val="20"/>
              </w:rPr>
            </w:pPr>
            <w:r>
              <w:rPr>
                <w:rFonts w:hint="default" w:ascii="Cambria" w:hAnsi="Cambria" w:cs="Cambria"/>
                <w:sz w:val="20"/>
                <w:szCs w:val="20"/>
              </w:rPr>
              <w:t>Pelaksanaan tugas lain yang diberikan oleh Bupati sesuai dengan tugas dan fungsinya.</w:t>
            </w:r>
          </w:p>
        </w:tc>
      </w:tr>
    </w:tbl>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tbl>
      <w:tblPr>
        <w:tblStyle w:val="3"/>
        <w:tblW w:w="9224" w:type="dxa"/>
        <w:tblInd w:w="-353" w:type="dxa"/>
        <w:tblLayout w:type="fixed"/>
        <w:tblCellMar>
          <w:top w:w="0" w:type="dxa"/>
          <w:left w:w="108" w:type="dxa"/>
          <w:bottom w:w="0" w:type="dxa"/>
          <w:right w:w="108" w:type="dxa"/>
        </w:tblCellMar>
      </w:tblPr>
      <w:tblGrid>
        <w:gridCol w:w="690"/>
        <w:gridCol w:w="390"/>
        <w:gridCol w:w="3044"/>
        <w:gridCol w:w="1005"/>
        <w:gridCol w:w="990"/>
        <w:gridCol w:w="1035"/>
        <w:gridCol w:w="1050"/>
        <w:gridCol w:w="1020"/>
      </w:tblGrid>
      <w:tr>
        <w:tblPrEx>
          <w:tblCellMar>
            <w:top w:w="0" w:type="dxa"/>
            <w:left w:w="108" w:type="dxa"/>
            <w:bottom w:w="0" w:type="dxa"/>
            <w:right w:w="108" w:type="dxa"/>
          </w:tblCellMar>
        </w:tblPrEx>
        <w:trPr>
          <w:trHeight w:val="280" w:hRule="atLeast"/>
        </w:trPr>
        <w:tc>
          <w:tcPr>
            <w:tcW w:w="69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spacing w:after="0" w:line="360" w:lineRule="auto"/>
              <w:jc w:val="center"/>
              <w:rPr>
                <w:rFonts w:hint="default" w:ascii="Cambria" w:hAnsi="Cambria" w:cs="Cambria"/>
                <w:bCs/>
                <w:color w:val="000000"/>
                <w:sz w:val="24"/>
                <w:szCs w:val="24"/>
              </w:rPr>
            </w:pPr>
            <w:r>
              <w:rPr>
                <w:rFonts w:hint="default" w:ascii="Cambria" w:hAnsi="Cambria" w:cs="Cambria"/>
                <w:bCs/>
                <w:color w:val="000000"/>
                <w:sz w:val="24"/>
                <w:szCs w:val="24"/>
              </w:rPr>
              <w:t>NO</w:t>
            </w:r>
          </w:p>
        </w:tc>
        <w:tc>
          <w:tcPr>
            <w:tcW w:w="3434" w:type="dxa"/>
            <w:gridSpan w:val="2"/>
            <w:vMerge w:val="restart"/>
            <w:tcBorders>
              <w:top w:val="single" w:color="auto" w:sz="8" w:space="0"/>
              <w:left w:val="single" w:color="auto" w:sz="8" w:space="0"/>
              <w:right w:val="single" w:color="000000" w:sz="8" w:space="0"/>
            </w:tcBorders>
            <w:shd w:val="clear" w:color="auto" w:fill="auto"/>
            <w:vAlign w:val="center"/>
          </w:tcPr>
          <w:p>
            <w:pPr>
              <w:spacing w:after="0" w:line="360" w:lineRule="auto"/>
              <w:jc w:val="center"/>
              <w:rPr>
                <w:rFonts w:hint="default" w:ascii="Cambria" w:hAnsi="Cambria" w:cs="Cambria"/>
                <w:bCs/>
                <w:color w:val="000000"/>
                <w:sz w:val="24"/>
                <w:szCs w:val="24"/>
              </w:rPr>
            </w:pPr>
            <w:r>
              <w:rPr>
                <w:rFonts w:hint="default" w:ascii="Cambria" w:hAnsi="Cambria" w:cs="Cambria"/>
                <w:bCs/>
                <w:color w:val="000000"/>
                <w:sz w:val="24"/>
                <w:szCs w:val="24"/>
              </w:rPr>
              <w:t>Indikator Kinerja Utama</w:t>
            </w:r>
          </w:p>
        </w:tc>
        <w:tc>
          <w:tcPr>
            <w:tcW w:w="5100" w:type="dxa"/>
            <w:gridSpan w:val="5"/>
            <w:tcBorders>
              <w:top w:val="single" w:color="auto" w:sz="8" w:space="0"/>
              <w:left w:val="single" w:color="000000" w:sz="8" w:space="0"/>
              <w:bottom w:val="single" w:color="auto" w:sz="8" w:space="0"/>
              <w:right w:val="single" w:color="000000" w:sz="8" w:space="0"/>
            </w:tcBorders>
            <w:shd w:val="clear" w:color="auto" w:fill="auto"/>
            <w:vAlign w:val="center"/>
          </w:tcPr>
          <w:p>
            <w:pPr>
              <w:spacing w:after="0" w:line="360" w:lineRule="auto"/>
              <w:jc w:val="center"/>
              <w:rPr>
                <w:rFonts w:hint="default" w:ascii="Cambria" w:hAnsi="Cambria" w:cs="Cambria"/>
                <w:bCs/>
                <w:color w:val="000000"/>
                <w:sz w:val="24"/>
                <w:szCs w:val="24"/>
              </w:rPr>
            </w:pPr>
            <w:r>
              <w:rPr>
                <w:rFonts w:hint="default" w:ascii="Cambria" w:hAnsi="Cambria" w:cs="Cambria"/>
                <w:bCs/>
                <w:color w:val="000000"/>
                <w:sz w:val="24"/>
                <w:szCs w:val="24"/>
              </w:rPr>
              <w:t>Target</w:t>
            </w:r>
          </w:p>
        </w:tc>
      </w:tr>
      <w:tr>
        <w:tblPrEx>
          <w:tblCellMar>
            <w:top w:w="0" w:type="dxa"/>
            <w:left w:w="108" w:type="dxa"/>
            <w:bottom w:w="0" w:type="dxa"/>
            <w:right w:w="108" w:type="dxa"/>
          </w:tblCellMar>
        </w:tblPrEx>
        <w:trPr>
          <w:trHeight w:val="360" w:hRule="atLeast"/>
        </w:trPr>
        <w:tc>
          <w:tcPr>
            <w:tcW w:w="690" w:type="dxa"/>
            <w:vMerge w:val="continue"/>
            <w:tcBorders>
              <w:top w:val="single" w:color="auto" w:sz="8" w:space="0"/>
              <w:left w:val="single" w:color="auto" w:sz="8" w:space="0"/>
              <w:bottom w:val="single" w:color="000000" w:sz="8" w:space="0"/>
              <w:right w:val="single" w:color="auto" w:sz="8" w:space="0"/>
            </w:tcBorders>
            <w:vAlign w:val="center"/>
          </w:tcPr>
          <w:p>
            <w:pPr>
              <w:spacing w:after="0" w:line="360" w:lineRule="auto"/>
              <w:rPr>
                <w:rFonts w:hint="default" w:ascii="Cambria" w:hAnsi="Cambria" w:cs="Cambria"/>
                <w:bCs/>
                <w:color w:val="000000"/>
                <w:sz w:val="24"/>
                <w:szCs w:val="24"/>
              </w:rPr>
            </w:pPr>
          </w:p>
        </w:tc>
        <w:tc>
          <w:tcPr>
            <w:tcW w:w="3434" w:type="dxa"/>
            <w:gridSpan w:val="2"/>
            <w:vMerge w:val="continue"/>
            <w:tcBorders>
              <w:left w:val="single" w:color="auto" w:sz="8" w:space="0"/>
              <w:bottom w:val="single" w:color="000000" w:sz="8" w:space="0"/>
              <w:right w:val="single" w:color="000000" w:sz="8" w:space="0"/>
            </w:tcBorders>
            <w:vAlign w:val="center"/>
          </w:tcPr>
          <w:p>
            <w:pPr>
              <w:spacing w:after="0" w:line="360" w:lineRule="auto"/>
              <w:rPr>
                <w:rFonts w:hint="default" w:ascii="Cambria" w:hAnsi="Cambria" w:cs="Cambria"/>
                <w:bCs/>
                <w:color w:val="000000"/>
                <w:sz w:val="24"/>
                <w:szCs w:val="24"/>
              </w:rPr>
            </w:pPr>
          </w:p>
        </w:tc>
        <w:tc>
          <w:tcPr>
            <w:tcW w:w="1005" w:type="dxa"/>
            <w:tcBorders>
              <w:top w:val="nil"/>
              <w:left w:val="single" w:color="000000" w:sz="8" w:space="0"/>
              <w:bottom w:val="single" w:color="auto" w:sz="8" w:space="0"/>
              <w:right w:val="single" w:color="auto" w:sz="4" w:space="0"/>
            </w:tcBorders>
            <w:shd w:val="clear" w:color="auto" w:fill="auto"/>
            <w:vAlign w:val="center"/>
          </w:tcPr>
          <w:p>
            <w:pPr>
              <w:spacing w:after="0" w:line="360" w:lineRule="auto"/>
              <w:jc w:val="center"/>
              <w:rPr>
                <w:rFonts w:hint="default" w:ascii="Cambria" w:hAnsi="Cambria" w:cs="Cambria"/>
                <w:bCs/>
                <w:color w:val="000000"/>
                <w:sz w:val="24"/>
                <w:szCs w:val="24"/>
              </w:rPr>
            </w:pPr>
            <w:r>
              <w:rPr>
                <w:rFonts w:hint="default" w:ascii="Cambria" w:hAnsi="Cambria" w:cs="Cambria"/>
                <w:bCs/>
                <w:color w:val="000000"/>
                <w:sz w:val="24"/>
                <w:szCs w:val="24"/>
              </w:rPr>
              <w:t>2018</w:t>
            </w:r>
          </w:p>
        </w:tc>
        <w:tc>
          <w:tcPr>
            <w:tcW w:w="990" w:type="dxa"/>
            <w:tcBorders>
              <w:top w:val="nil"/>
              <w:left w:val="single" w:color="auto" w:sz="4" w:space="0"/>
              <w:bottom w:val="single" w:color="auto" w:sz="8" w:space="0"/>
              <w:right w:val="single" w:color="auto" w:sz="4" w:space="0"/>
            </w:tcBorders>
            <w:shd w:val="clear" w:color="auto" w:fill="auto"/>
            <w:vAlign w:val="center"/>
          </w:tcPr>
          <w:p>
            <w:pPr>
              <w:spacing w:after="0" w:line="360" w:lineRule="auto"/>
              <w:jc w:val="center"/>
              <w:rPr>
                <w:rFonts w:hint="default" w:ascii="Cambria" w:hAnsi="Cambria" w:cs="Cambria"/>
                <w:bCs/>
                <w:color w:val="000000"/>
                <w:sz w:val="24"/>
                <w:szCs w:val="24"/>
              </w:rPr>
            </w:pPr>
            <w:r>
              <w:rPr>
                <w:rFonts w:hint="default" w:ascii="Cambria" w:hAnsi="Cambria" w:cs="Cambria"/>
                <w:bCs/>
                <w:color w:val="000000"/>
                <w:sz w:val="24"/>
                <w:szCs w:val="24"/>
              </w:rPr>
              <w:t>2019</w:t>
            </w:r>
          </w:p>
        </w:tc>
        <w:tc>
          <w:tcPr>
            <w:tcW w:w="1035" w:type="dxa"/>
            <w:tcBorders>
              <w:top w:val="nil"/>
              <w:left w:val="single" w:color="auto" w:sz="4" w:space="0"/>
              <w:bottom w:val="single" w:color="auto" w:sz="8" w:space="0"/>
              <w:right w:val="single" w:color="auto" w:sz="4" w:space="0"/>
            </w:tcBorders>
            <w:shd w:val="clear" w:color="auto" w:fill="auto"/>
            <w:vAlign w:val="center"/>
          </w:tcPr>
          <w:p>
            <w:pPr>
              <w:spacing w:after="0" w:line="360" w:lineRule="auto"/>
              <w:jc w:val="center"/>
              <w:rPr>
                <w:rFonts w:hint="default" w:ascii="Cambria" w:hAnsi="Cambria" w:cs="Cambria"/>
                <w:bCs/>
                <w:color w:val="000000"/>
                <w:sz w:val="24"/>
                <w:szCs w:val="24"/>
              </w:rPr>
            </w:pPr>
            <w:r>
              <w:rPr>
                <w:rFonts w:hint="default" w:ascii="Cambria" w:hAnsi="Cambria" w:cs="Cambria"/>
                <w:bCs/>
                <w:color w:val="000000"/>
                <w:sz w:val="24"/>
                <w:szCs w:val="24"/>
              </w:rPr>
              <w:t>2020</w:t>
            </w:r>
          </w:p>
        </w:tc>
        <w:tc>
          <w:tcPr>
            <w:tcW w:w="1050" w:type="dxa"/>
            <w:tcBorders>
              <w:top w:val="nil"/>
              <w:left w:val="single" w:color="auto" w:sz="4" w:space="0"/>
              <w:bottom w:val="single" w:color="auto" w:sz="8" w:space="0"/>
              <w:right w:val="single" w:color="auto" w:sz="8" w:space="0"/>
            </w:tcBorders>
            <w:shd w:val="clear" w:color="auto" w:fill="auto"/>
            <w:vAlign w:val="center"/>
          </w:tcPr>
          <w:p>
            <w:pPr>
              <w:spacing w:after="0" w:line="360" w:lineRule="auto"/>
              <w:jc w:val="center"/>
              <w:rPr>
                <w:rFonts w:hint="default" w:ascii="Cambria" w:hAnsi="Cambria" w:cs="Cambria"/>
                <w:bCs/>
                <w:color w:val="000000"/>
                <w:sz w:val="24"/>
                <w:szCs w:val="24"/>
              </w:rPr>
            </w:pPr>
            <w:r>
              <w:rPr>
                <w:rFonts w:hint="default" w:ascii="Cambria" w:hAnsi="Cambria" w:cs="Cambria"/>
                <w:bCs/>
                <w:color w:val="000000"/>
                <w:sz w:val="24"/>
                <w:szCs w:val="24"/>
              </w:rPr>
              <w:t>2021</w:t>
            </w:r>
          </w:p>
        </w:tc>
        <w:tc>
          <w:tcPr>
            <w:tcW w:w="1020" w:type="dxa"/>
            <w:tcBorders>
              <w:top w:val="nil"/>
              <w:left w:val="nil"/>
              <w:bottom w:val="single" w:color="auto" w:sz="8" w:space="0"/>
              <w:right w:val="single" w:color="auto" w:sz="8" w:space="0"/>
            </w:tcBorders>
            <w:shd w:val="clear" w:color="auto" w:fill="auto"/>
            <w:vAlign w:val="center"/>
          </w:tcPr>
          <w:p>
            <w:pPr>
              <w:spacing w:after="0" w:line="360" w:lineRule="auto"/>
              <w:jc w:val="center"/>
              <w:rPr>
                <w:rFonts w:hint="default" w:ascii="Cambria" w:hAnsi="Cambria" w:cs="Cambria"/>
                <w:bCs/>
                <w:color w:val="000000"/>
                <w:sz w:val="24"/>
                <w:szCs w:val="24"/>
              </w:rPr>
            </w:pPr>
            <w:r>
              <w:rPr>
                <w:rFonts w:hint="default" w:ascii="Cambria" w:hAnsi="Cambria" w:cs="Cambria"/>
                <w:bCs/>
                <w:color w:val="000000"/>
                <w:sz w:val="24"/>
                <w:szCs w:val="24"/>
              </w:rPr>
              <w:t>2022</w:t>
            </w:r>
          </w:p>
        </w:tc>
      </w:tr>
      <w:tr>
        <w:tblPrEx>
          <w:tblCellMar>
            <w:top w:w="0" w:type="dxa"/>
            <w:left w:w="108" w:type="dxa"/>
            <w:bottom w:w="0" w:type="dxa"/>
            <w:right w:w="108" w:type="dxa"/>
          </w:tblCellMar>
        </w:tblPrEx>
        <w:trPr>
          <w:trHeight w:val="303" w:hRule="atLeast"/>
        </w:trPr>
        <w:tc>
          <w:tcPr>
            <w:tcW w:w="690" w:type="dxa"/>
            <w:tcBorders>
              <w:top w:val="nil"/>
              <w:left w:val="single" w:color="auto" w:sz="8" w:space="0"/>
              <w:bottom w:val="single" w:color="000000"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I.</w:t>
            </w:r>
          </w:p>
        </w:tc>
        <w:tc>
          <w:tcPr>
            <w:tcW w:w="3434" w:type="dxa"/>
            <w:gridSpan w:val="2"/>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 xml:space="preserve">Meningkatnya Kinerja Pembangunan Sektor Perindustrian </w:t>
            </w:r>
          </w:p>
        </w:tc>
        <w:tc>
          <w:tcPr>
            <w:tcW w:w="1005" w:type="dxa"/>
            <w:tcBorders>
              <w:top w:val="nil"/>
              <w:left w:val="nil"/>
              <w:bottom w:val="single" w:color="auto" w:sz="8" w:space="0"/>
              <w:right w:val="single" w:color="auto" w:sz="4" w:space="0"/>
            </w:tcBorders>
            <w:shd w:val="clear" w:color="auto" w:fill="auto"/>
          </w:tcPr>
          <w:p>
            <w:pPr>
              <w:spacing w:after="0" w:line="360" w:lineRule="auto"/>
              <w:jc w:val="center"/>
              <w:rPr>
                <w:rFonts w:hint="default" w:ascii="Cambria" w:hAnsi="Cambria" w:cs="Cambria"/>
                <w:color w:val="000000"/>
                <w:sz w:val="24"/>
                <w:szCs w:val="24"/>
              </w:rPr>
            </w:pPr>
          </w:p>
        </w:tc>
        <w:tc>
          <w:tcPr>
            <w:tcW w:w="990" w:type="dxa"/>
            <w:tcBorders>
              <w:top w:val="nil"/>
              <w:left w:val="single" w:color="auto" w:sz="4" w:space="0"/>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p>
        </w:tc>
        <w:tc>
          <w:tcPr>
            <w:tcW w:w="1035" w:type="dxa"/>
            <w:tcBorders>
              <w:top w:val="nil"/>
              <w:left w:val="nil"/>
              <w:bottom w:val="single" w:color="auto" w:sz="8" w:space="0"/>
              <w:right w:val="single" w:color="auto" w:sz="4" w:space="0"/>
            </w:tcBorders>
            <w:shd w:val="clear" w:color="auto" w:fill="auto"/>
          </w:tcPr>
          <w:p>
            <w:pPr>
              <w:spacing w:after="0" w:line="360" w:lineRule="auto"/>
              <w:jc w:val="center"/>
              <w:rPr>
                <w:rFonts w:hint="default" w:ascii="Cambria" w:hAnsi="Cambria" w:cs="Cambria"/>
                <w:color w:val="000000"/>
                <w:sz w:val="24"/>
                <w:szCs w:val="24"/>
              </w:rPr>
            </w:pPr>
          </w:p>
        </w:tc>
        <w:tc>
          <w:tcPr>
            <w:tcW w:w="1050" w:type="dxa"/>
            <w:tcBorders>
              <w:top w:val="nil"/>
              <w:left w:val="single" w:color="auto" w:sz="4" w:space="0"/>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p>
        </w:tc>
      </w:tr>
      <w:tr>
        <w:tblPrEx>
          <w:tblCellMar>
            <w:top w:w="0" w:type="dxa"/>
            <w:left w:w="108" w:type="dxa"/>
            <w:bottom w:w="0" w:type="dxa"/>
            <w:right w:w="108" w:type="dxa"/>
          </w:tblCellMar>
        </w:tblPrEx>
        <w:trPr>
          <w:trHeight w:val="216" w:hRule="atLeast"/>
        </w:trPr>
        <w:tc>
          <w:tcPr>
            <w:tcW w:w="690" w:type="dxa"/>
            <w:vMerge w:val="restart"/>
            <w:tcBorders>
              <w:top w:val="nil"/>
              <w:left w:val="single" w:color="auto" w:sz="8" w:space="0"/>
              <w:bottom w:val="single" w:color="000000"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p>
        </w:tc>
        <w:tc>
          <w:tcPr>
            <w:tcW w:w="390" w:type="dxa"/>
            <w:tcBorders>
              <w:top w:val="nil"/>
              <w:left w:val="nil"/>
              <w:bottom w:val="single" w:color="auto" w:sz="8" w:space="0"/>
              <w:right w:val="nil"/>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a.</w:t>
            </w:r>
          </w:p>
        </w:tc>
        <w:tc>
          <w:tcPr>
            <w:tcW w:w="3044" w:type="dxa"/>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Pertumbuhan Sektor Industri</w:t>
            </w:r>
          </w:p>
        </w:tc>
        <w:tc>
          <w:tcPr>
            <w:tcW w:w="100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35 IKM</w:t>
            </w:r>
          </w:p>
        </w:tc>
        <w:tc>
          <w:tcPr>
            <w:tcW w:w="99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40 IKM</w:t>
            </w:r>
          </w:p>
        </w:tc>
        <w:tc>
          <w:tcPr>
            <w:tcW w:w="103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45 IKM</w:t>
            </w:r>
          </w:p>
        </w:tc>
        <w:tc>
          <w:tcPr>
            <w:tcW w:w="105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50 IKM</w:t>
            </w: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50 IKM</w:t>
            </w:r>
          </w:p>
        </w:tc>
      </w:tr>
      <w:tr>
        <w:tblPrEx>
          <w:tblCellMar>
            <w:top w:w="0" w:type="dxa"/>
            <w:left w:w="108" w:type="dxa"/>
            <w:bottom w:w="0" w:type="dxa"/>
            <w:right w:w="108" w:type="dxa"/>
          </w:tblCellMar>
        </w:tblPrEx>
        <w:trPr>
          <w:trHeight w:val="373" w:hRule="atLeast"/>
        </w:trPr>
        <w:tc>
          <w:tcPr>
            <w:tcW w:w="690" w:type="dxa"/>
            <w:vMerge w:val="continue"/>
            <w:tcBorders>
              <w:top w:val="nil"/>
              <w:left w:val="single" w:color="auto" w:sz="8" w:space="0"/>
              <w:bottom w:val="single" w:color="000000" w:sz="8" w:space="0"/>
              <w:right w:val="single" w:color="auto" w:sz="8" w:space="0"/>
            </w:tcBorders>
            <w:vAlign w:val="center"/>
          </w:tcPr>
          <w:p>
            <w:pPr>
              <w:spacing w:after="0" w:line="360" w:lineRule="auto"/>
              <w:rPr>
                <w:rFonts w:hint="default" w:ascii="Cambria" w:hAnsi="Cambria" w:cs="Cambria"/>
                <w:color w:val="000000"/>
                <w:sz w:val="24"/>
                <w:szCs w:val="24"/>
              </w:rPr>
            </w:pPr>
          </w:p>
        </w:tc>
        <w:tc>
          <w:tcPr>
            <w:tcW w:w="390" w:type="dxa"/>
            <w:tcBorders>
              <w:top w:val="nil"/>
              <w:left w:val="nil"/>
              <w:bottom w:val="single" w:color="auto" w:sz="8" w:space="0"/>
              <w:right w:val="nil"/>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b.</w:t>
            </w:r>
          </w:p>
        </w:tc>
        <w:tc>
          <w:tcPr>
            <w:tcW w:w="3044" w:type="dxa"/>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Jumlah peningkatan unit usaha industri unggulan daerah</w:t>
            </w:r>
          </w:p>
        </w:tc>
        <w:tc>
          <w:tcPr>
            <w:tcW w:w="100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20 IKM</w:t>
            </w:r>
          </w:p>
        </w:tc>
        <w:tc>
          <w:tcPr>
            <w:tcW w:w="99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25 IKM</w:t>
            </w:r>
          </w:p>
        </w:tc>
        <w:tc>
          <w:tcPr>
            <w:tcW w:w="103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30 IKM</w:t>
            </w:r>
          </w:p>
        </w:tc>
        <w:tc>
          <w:tcPr>
            <w:tcW w:w="105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32 IKM</w:t>
            </w: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51 IKM</w:t>
            </w:r>
          </w:p>
        </w:tc>
      </w:tr>
      <w:tr>
        <w:tblPrEx>
          <w:tblCellMar>
            <w:top w:w="0" w:type="dxa"/>
            <w:left w:w="108" w:type="dxa"/>
            <w:bottom w:w="0" w:type="dxa"/>
            <w:right w:w="108" w:type="dxa"/>
          </w:tblCellMar>
        </w:tblPrEx>
        <w:trPr>
          <w:trHeight w:val="387" w:hRule="atLeast"/>
        </w:trPr>
        <w:tc>
          <w:tcPr>
            <w:tcW w:w="690" w:type="dxa"/>
            <w:tcBorders>
              <w:top w:val="nil"/>
              <w:left w:val="single" w:color="auto" w:sz="8" w:space="0"/>
              <w:bottom w:val="single" w:color="000000"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II.</w:t>
            </w:r>
          </w:p>
        </w:tc>
        <w:tc>
          <w:tcPr>
            <w:tcW w:w="3434" w:type="dxa"/>
            <w:gridSpan w:val="2"/>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 xml:space="preserve">Meningkatnya Skala Usaha Sektor Perdgangan dan Penguatan Kinerja Pengujian dan Sertifikasi Mutu Barang, Kemetrologian serta Pengawasan Barang dan Jasa Beredar </w:t>
            </w:r>
          </w:p>
        </w:tc>
        <w:tc>
          <w:tcPr>
            <w:tcW w:w="100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sz w:val="24"/>
                <w:szCs w:val="24"/>
              </w:rPr>
            </w:pPr>
          </w:p>
        </w:tc>
        <w:tc>
          <w:tcPr>
            <w:tcW w:w="99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sz w:val="24"/>
                <w:szCs w:val="24"/>
              </w:rPr>
            </w:pPr>
          </w:p>
        </w:tc>
        <w:tc>
          <w:tcPr>
            <w:tcW w:w="103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sz w:val="24"/>
                <w:szCs w:val="24"/>
              </w:rPr>
            </w:pPr>
          </w:p>
        </w:tc>
        <w:tc>
          <w:tcPr>
            <w:tcW w:w="105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sz w:val="24"/>
                <w:szCs w:val="24"/>
              </w:rPr>
            </w:pP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sz w:val="24"/>
                <w:szCs w:val="24"/>
              </w:rPr>
            </w:pPr>
          </w:p>
        </w:tc>
      </w:tr>
      <w:tr>
        <w:tblPrEx>
          <w:tblCellMar>
            <w:top w:w="0" w:type="dxa"/>
            <w:left w:w="108" w:type="dxa"/>
            <w:bottom w:w="0" w:type="dxa"/>
            <w:right w:w="108" w:type="dxa"/>
          </w:tblCellMar>
        </w:tblPrEx>
        <w:trPr>
          <w:trHeight w:val="254" w:hRule="atLeast"/>
        </w:trPr>
        <w:tc>
          <w:tcPr>
            <w:tcW w:w="690" w:type="dxa"/>
            <w:vMerge w:val="restart"/>
            <w:tcBorders>
              <w:top w:val="nil"/>
              <w:left w:val="single" w:color="auto" w:sz="8" w:space="0"/>
              <w:bottom w:val="single" w:color="000000"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p>
        </w:tc>
        <w:tc>
          <w:tcPr>
            <w:tcW w:w="390" w:type="dxa"/>
            <w:tcBorders>
              <w:top w:val="nil"/>
              <w:left w:val="nil"/>
              <w:bottom w:val="single" w:color="auto" w:sz="8" w:space="0"/>
              <w:right w:val="nil"/>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a.</w:t>
            </w:r>
          </w:p>
        </w:tc>
        <w:tc>
          <w:tcPr>
            <w:tcW w:w="3044" w:type="dxa"/>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 xml:space="preserve">Persentase Pasar rakyat dalam kondisi baik </w:t>
            </w:r>
          </w:p>
        </w:tc>
        <w:tc>
          <w:tcPr>
            <w:tcW w:w="100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sz w:val="24"/>
                <w:szCs w:val="24"/>
              </w:rPr>
            </w:pPr>
            <w:r>
              <w:rPr>
                <w:rFonts w:hint="default" w:ascii="Cambria" w:hAnsi="Cambria" w:cs="Cambria"/>
                <w:sz w:val="24"/>
                <w:szCs w:val="24"/>
              </w:rPr>
              <w:t>65%</w:t>
            </w:r>
          </w:p>
        </w:tc>
        <w:tc>
          <w:tcPr>
            <w:tcW w:w="99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sz w:val="24"/>
                <w:szCs w:val="24"/>
              </w:rPr>
            </w:pPr>
            <w:r>
              <w:rPr>
                <w:rFonts w:hint="default" w:ascii="Cambria" w:hAnsi="Cambria" w:cs="Cambria"/>
                <w:sz w:val="24"/>
                <w:szCs w:val="24"/>
              </w:rPr>
              <w:t>70%</w:t>
            </w:r>
          </w:p>
        </w:tc>
        <w:tc>
          <w:tcPr>
            <w:tcW w:w="103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sz w:val="24"/>
                <w:szCs w:val="24"/>
              </w:rPr>
            </w:pPr>
            <w:r>
              <w:rPr>
                <w:rFonts w:hint="default" w:ascii="Cambria" w:hAnsi="Cambria" w:cs="Cambria"/>
                <w:sz w:val="24"/>
                <w:szCs w:val="24"/>
              </w:rPr>
              <w:t>75%</w:t>
            </w:r>
          </w:p>
        </w:tc>
        <w:tc>
          <w:tcPr>
            <w:tcW w:w="105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sz w:val="24"/>
                <w:szCs w:val="24"/>
              </w:rPr>
            </w:pPr>
            <w:r>
              <w:rPr>
                <w:rFonts w:hint="default" w:ascii="Cambria" w:hAnsi="Cambria" w:cs="Cambria"/>
                <w:sz w:val="24"/>
                <w:szCs w:val="24"/>
              </w:rPr>
              <w:t>80%</w:t>
            </w: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sz w:val="24"/>
                <w:szCs w:val="24"/>
              </w:rPr>
            </w:pPr>
            <w:r>
              <w:rPr>
                <w:rFonts w:hint="default" w:ascii="Cambria" w:hAnsi="Cambria" w:cs="Cambria"/>
                <w:sz w:val="24"/>
                <w:szCs w:val="24"/>
              </w:rPr>
              <w:t>85%</w:t>
            </w:r>
          </w:p>
        </w:tc>
      </w:tr>
      <w:tr>
        <w:tblPrEx>
          <w:tblCellMar>
            <w:top w:w="0" w:type="dxa"/>
            <w:left w:w="108" w:type="dxa"/>
            <w:bottom w:w="0" w:type="dxa"/>
            <w:right w:w="108" w:type="dxa"/>
          </w:tblCellMar>
        </w:tblPrEx>
        <w:trPr>
          <w:trHeight w:val="247" w:hRule="atLeast"/>
        </w:trPr>
        <w:tc>
          <w:tcPr>
            <w:tcW w:w="690" w:type="dxa"/>
            <w:vMerge w:val="continue"/>
            <w:tcBorders>
              <w:top w:val="nil"/>
              <w:left w:val="single" w:color="auto" w:sz="8" w:space="0"/>
              <w:bottom w:val="single" w:color="000000" w:sz="8" w:space="0"/>
              <w:right w:val="single" w:color="auto" w:sz="8" w:space="0"/>
            </w:tcBorders>
            <w:vAlign w:val="center"/>
          </w:tcPr>
          <w:p>
            <w:pPr>
              <w:spacing w:after="0" w:line="360" w:lineRule="auto"/>
              <w:rPr>
                <w:rFonts w:hint="default" w:ascii="Cambria" w:hAnsi="Cambria" w:cs="Cambria"/>
                <w:color w:val="000000"/>
                <w:sz w:val="24"/>
                <w:szCs w:val="24"/>
              </w:rPr>
            </w:pPr>
          </w:p>
        </w:tc>
        <w:tc>
          <w:tcPr>
            <w:tcW w:w="390" w:type="dxa"/>
            <w:tcBorders>
              <w:top w:val="nil"/>
              <w:left w:val="nil"/>
              <w:bottom w:val="single" w:color="auto" w:sz="8" w:space="0"/>
              <w:right w:val="nil"/>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b.</w:t>
            </w:r>
          </w:p>
        </w:tc>
        <w:tc>
          <w:tcPr>
            <w:tcW w:w="3044" w:type="dxa"/>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Jumlah rekomendasi izin usaha yang diterbitkan</w:t>
            </w:r>
          </w:p>
        </w:tc>
        <w:tc>
          <w:tcPr>
            <w:tcW w:w="100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65</w:t>
            </w:r>
          </w:p>
        </w:tc>
        <w:tc>
          <w:tcPr>
            <w:tcW w:w="99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70</w:t>
            </w:r>
          </w:p>
        </w:tc>
        <w:tc>
          <w:tcPr>
            <w:tcW w:w="103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75</w:t>
            </w:r>
          </w:p>
        </w:tc>
        <w:tc>
          <w:tcPr>
            <w:tcW w:w="105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80</w:t>
            </w: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100</w:t>
            </w:r>
          </w:p>
        </w:tc>
      </w:tr>
      <w:tr>
        <w:tblPrEx>
          <w:tblCellMar>
            <w:top w:w="0" w:type="dxa"/>
            <w:left w:w="108" w:type="dxa"/>
            <w:bottom w:w="0" w:type="dxa"/>
            <w:right w:w="108" w:type="dxa"/>
          </w:tblCellMar>
        </w:tblPrEx>
        <w:trPr>
          <w:trHeight w:val="351" w:hRule="atLeast"/>
        </w:trPr>
        <w:tc>
          <w:tcPr>
            <w:tcW w:w="690" w:type="dxa"/>
            <w:vMerge w:val="continue"/>
            <w:tcBorders>
              <w:top w:val="nil"/>
              <w:left w:val="single" w:color="auto" w:sz="8" w:space="0"/>
              <w:bottom w:val="single" w:color="000000" w:sz="8" w:space="0"/>
              <w:right w:val="single" w:color="auto" w:sz="8" w:space="0"/>
            </w:tcBorders>
            <w:vAlign w:val="center"/>
          </w:tcPr>
          <w:p>
            <w:pPr>
              <w:spacing w:after="0" w:line="360" w:lineRule="auto"/>
              <w:rPr>
                <w:rFonts w:hint="default" w:ascii="Cambria" w:hAnsi="Cambria" w:cs="Cambria"/>
                <w:color w:val="000000"/>
                <w:sz w:val="24"/>
                <w:szCs w:val="24"/>
              </w:rPr>
            </w:pPr>
          </w:p>
        </w:tc>
        <w:tc>
          <w:tcPr>
            <w:tcW w:w="390" w:type="dxa"/>
            <w:tcBorders>
              <w:top w:val="nil"/>
              <w:left w:val="nil"/>
              <w:bottom w:val="single" w:color="auto" w:sz="8" w:space="0"/>
              <w:right w:val="nil"/>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 xml:space="preserve">c. </w:t>
            </w:r>
          </w:p>
        </w:tc>
        <w:tc>
          <w:tcPr>
            <w:tcW w:w="3044" w:type="dxa"/>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Persentasi UTTP yang bertanda tera SAH</w:t>
            </w:r>
          </w:p>
        </w:tc>
        <w:tc>
          <w:tcPr>
            <w:tcW w:w="100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250 UTTP</w:t>
            </w:r>
          </w:p>
        </w:tc>
        <w:tc>
          <w:tcPr>
            <w:tcW w:w="99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350 UTTP</w:t>
            </w:r>
          </w:p>
        </w:tc>
        <w:tc>
          <w:tcPr>
            <w:tcW w:w="103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500 UTTP</w:t>
            </w:r>
          </w:p>
        </w:tc>
        <w:tc>
          <w:tcPr>
            <w:tcW w:w="105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600 UTTP</w:t>
            </w: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600 UTTP</w:t>
            </w:r>
          </w:p>
        </w:tc>
      </w:tr>
      <w:tr>
        <w:tblPrEx>
          <w:tblCellMar>
            <w:top w:w="0" w:type="dxa"/>
            <w:left w:w="108" w:type="dxa"/>
            <w:bottom w:w="0" w:type="dxa"/>
            <w:right w:w="108" w:type="dxa"/>
          </w:tblCellMar>
        </w:tblPrEx>
        <w:trPr>
          <w:trHeight w:val="360" w:hRule="atLeast"/>
        </w:trPr>
        <w:tc>
          <w:tcPr>
            <w:tcW w:w="690" w:type="dxa"/>
            <w:tcBorders>
              <w:top w:val="nil"/>
              <w:left w:val="single" w:color="auto" w:sz="8" w:space="0"/>
              <w:bottom w:val="single" w:color="000000"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III.</w:t>
            </w:r>
          </w:p>
        </w:tc>
        <w:tc>
          <w:tcPr>
            <w:tcW w:w="3434" w:type="dxa"/>
            <w:gridSpan w:val="2"/>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Meningkatnya Kualitas Kelembagaan, Daya Saing, Kemandirian Koperasi serta Kualitas UMKM :</w:t>
            </w:r>
          </w:p>
        </w:tc>
        <w:tc>
          <w:tcPr>
            <w:tcW w:w="100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p>
        </w:tc>
        <w:tc>
          <w:tcPr>
            <w:tcW w:w="99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p>
        </w:tc>
        <w:tc>
          <w:tcPr>
            <w:tcW w:w="103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p>
        </w:tc>
        <w:tc>
          <w:tcPr>
            <w:tcW w:w="105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p>
        </w:tc>
      </w:tr>
      <w:tr>
        <w:tblPrEx>
          <w:tblCellMar>
            <w:top w:w="0" w:type="dxa"/>
            <w:left w:w="108" w:type="dxa"/>
            <w:bottom w:w="0" w:type="dxa"/>
            <w:right w:w="108" w:type="dxa"/>
          </w:tblCellMar>
        </w:tblPrEx>
        <w:trPr>
          <w:trHeight w:val="186" w:hRule="atLeast"/>
        </w:trPr>
        <w:tc>
          <w:tcPr>
            <w:tcW w:w="690" w:type="dxa"/>
            <w:vMerge w:val="restart"/>
            <w:tcBorders>
              <w:top w:val="nil"/>
              <w:left w:val="single" w:color="auto" w:sz="8" w:space="0"/>
              <w:bottom w:val="single" w:color="000000"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p>
        </w:tc>
        <w:tc>
          <w:tcPr>
            <w:tcW w:w="390" w:type="dxa"/>
            <w:tcBorders>
              <w:top w:val="nil"/>
              <w:left w:val="nil"/>
              <w:bottom w:val="single" w:color="auto" w:sz="8" w:space="0"/>
              <w:right w:val="nil"/>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a.</w:t>
            </w:r>
          </w:p>
        </w:tc>
        <w:tc>
          <w:tcPr>
            <w:tcW w:w="3044" w:type="dxa"/>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Persentase Koperasi Aktif</w:t>
            </w:r>
          </w:p>
        </w:tc>
        <w:tc>
          <w:tcPr>
            <w:tcW w:w="100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116</w:t>
            </w:r>
          </w:p>
        </w:tc>
        <w:tc>
          <w:tcPr>
            <w:tcW w:w="99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123</w:t>
            </w:r>
          </w:p>
        </w:tc>
        <w:tc>
          <w:tcPr>
            <w:tcW w:w="103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130</w:t>
            </w:r>
          </w:p>
        </w:tc>
        <w:tc>
          <w:tcPr>
            <w:tcW w:w="105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138</w:t>
            </w: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138</w:t>
            </w:r>
          </w:p>
        </w:tc>
      </w:tr>
      <w:tr>
        <w:tblPrEx>
          <w:tblCellMar>
            <w:top w:w="0" w:type="dxa"/>
            <w:left w:w="108" w:type="dxa"/>
            <w:bottom w:w="0" w:type="dxa"/>
            <w:right w:w="108" w:type="dxa"/>
          </w:tblCellMar>
        </w:tblPrEx>
        <w:trPr>
          <w:trHeight w:val="227" w:hRule="atLeast"/>
        </w:trPr>
        <w:tc>
          <w:tcPr>
            <w:tcW w:w="690" w:type="dxa"/>
            <w:vMerge w:val="continue"/>
            <w:tcBorders>
              <w:top w:val="nil"/>
              <w:left w:val="single" w:color="auto" w:sz="8" w:space="0"/>
              <w:bottom w:val="single" w:color="000000" w:sz="8" w:space="0"/>
              <w:right w:val="single" w:color="auto" w:sz="8" w:space="0"/>
            </w:tcBorders>
            <w:vAlign w:val="center"/>
          </w:tcPr>
          <w:p>
            <w:pPr>
              <w:spacing w:after="0" w:line="360" w:lineRule="auto"/>
              <w:rPr>
                <w:rFonts w:hint="default" w:ascii="Cambria" w:hAnsi="Cambria" w:cs="Cambria"/>
                <w:color w:val="000000"/>
                <w:sz w:val="24"/>
                <w:szCs w:val="24"/>
              </w:rPr>
            </w:pPr>
          </w:p>
        </w:tc>
        <w:tc>
          <w:tcPr>
            <w:tcW w:w="390" w:type="dxa"/>
            <w:tcBorders>
              <w:top w:val="nil"/>
              <w:left w:val="nil"/>
              <w:bottom w:val="single" w:color="auto" w:sz="8" w:space="0"/>
              <w:right w:val="nil"/>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 xml:space="preserve">b. </w:t>
            </w:r>
          </w:p>
        </w:tc>
        <w:tc>
          <w:tcPr>
            <w:tcW w:w="3044" w:type="dxa"/>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Persentase Koperasi Sehat</w:t>
            </w:r>
          </w:p>
        </w:tc>
        <w:tc>
          <w:tcPr>
            <w:tcW w:w="100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138</w:t>
            </w:r>
          </w:p>
        </w:tc>
        <w:tc>
          <w:tcPr>
            <w:tcW w:w="99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140</w:t>
            </w:r>
          </w:p>
        </w:tc>
        <w:tc>
          <w:tcPr>
            <w:tcW w:w="103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145</w:t>
            </w:r>
          </w:p>
        </w:tc>
        <w:tc>
          <w:tcPr>
            <w:tcW w:w="105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150</w:t>
            </w: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lang w:val="en-US"/>
              </w:rPr>
            </w:pPr>
            <w:r>
              <w:rPr>
                <w:rFonts w:hint="default" w:ascii="Cambria" w:hAnsi="Cambria" w:cs="Cambria"/>
                <w:color w:val="000000"/>
                <w:sz w:val="24"/>
                <w:szCs w:val="24"/>
                <w:lang w:val="en-US"/>
              </w:rPr>
              <w:t>150</w:t>
            </w:r>
          </w:p>
        </w:tc>
      </w:tr>
      <w:tr>
        <w:tblPrEx>
          <w:tblCellMar>
            <w:top w:w="0" w:type="dxa"/>
            <w:left w:w="108" w:type="dxa"/>
            <w:bottom w:w="0" w:type="dxa"/>
            <w:right w:w="108" w:type="dxa"/>
          </w:tblCellMar>
        </w:tblPrEx>
        <w:trPr>
          <w:trHeight w:val="230" w:hRule="atLeast"/>
        </w:trPr>
        <w:tc>
          <w:tcPr>
            <w:tcW w:w="690" w:type="dxa"/>
            <w:vMerge w:val="continue"/>
            <w:tcBorders>
              <w:top w:val="nil"/>
              <w:left w:val="single" w:color="auto" w:sz="8" w:space="0"/>
              <w:bottom w:val="single" w:color="000000" w:sz="8" w:space="0"/>
              <w:right w:val="single" w:color="auto" w:sz="8" w:space="0"/>
            </w:tcBorders>
            <w:vAlign w:val="center"/>
          </w:tcPr>
          <w:p>
            <w:pPr>
              <w:spacing w:after="0" w:line="360" w:lineRule="auto"/>
              <w:rPr>
                <w:rFonts w:hint="default" w:ascii="Cambria" w:hAnsi="Cambria" w:cs="Cambria"/>
                <w:color w:val="000000"/>
                <w:sz w:val="24"/>
                <w:szCs w:val="24"/>
              </w:rPr>
            </w:pPr>
          </w:p>
        </w:tc>
        <w:tc>
          <w:tcPr>
            <w:tcW w:w="390" w:type="dxa"/>
            <w:tcBorders>
              <w:top w:val="nil"/>
              <w:left w:val="nil"/>
              <w:bottom w:val="single" w:color="auto" w:sz="8" w:space="0"/>
              <w:right w:val="nil"/>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c.</w:t>
            </w:r>
          </w:p>
        </w:tc>
        <w:tc>
          <w:tcPr>
            <w:tcW w:w="3044" w:type="dxa"/>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 xml:space="preserve">Persentase Peningkatan UMKM yang Produktif </w:t>
            </w:r>
          </w:p>
        </w:tc>
        <w:tc>
          <w:tcPr>
            <w:tcW w:w="100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200 UKM</w:t>
            </w:r>
          </w:p>
        </w:tc>
        <w:tc>
          <w:tcPr>
            <w:tcW w:w="99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250 UKM</w:t>
            </w:r>
          </w:p>
        </w:tc>
        <w:tc>
          <w:tcPr>
            <w:tcW w:w="103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300 UKM</w:t>
            </w:r>
          </w:p>
        </w:tc>
        <w:tc>
          <w:tcPr>
            <w:tcW w:w="105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350 UKM</w:t>
            </w: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350 UKM</w:t>
            </w:r>
          </w:p>
        </w:tc>
      </w:tr>
      <w:tr>
        <w:tblPrEx>
          <w:tblCellMar>
            <w:top w:w="0" w:type="dxa"/>
            <w:left w:w="108" w:type="dxa"/>
            <w:bottom w:w="0" w:type="dxa"/>
            <w:right w:w="108" w:type="dxa"/>
          </w:tblCellMar>
        </w:tblPrEx>
        <w:trPr>
          <w:trHeight w:val="338" w:hRule="atLeast"/>
        </w:trPr>
        <w:tc>
          <w:tcPr>
            <w:tcW w:w="690" w:type="dxa"/>
            <w:vMerge w:val="continue"/>
            <w:tcBorders>
              <w:top w:val="nil"/>
              <w:left w:val="single" w:color="auto" w:sz="8" w:space="0"/>
              <w:bottom w:val="single" w:color="000000" w:sz="8" w:space="0"/>
              <w:right w:val="single" w:color="auto" w:sz="8" w:space="0"/>
            </w:tcBorders>
            <w:vAlign w:val="center"/>
          </w:tcPr>
          <w:p>
            <w:pPr>
              <w:spacing w:after="0" w:line="360" w:lineRule="auto"/>
              <w:rPr>
                <w:rFonts w:hint="default" w:ascii="Cambria" w:hAnsi="Cambria" w:cs="Cambria"/>
                <w:color w:val="000000"/>
                <w:sz w:val="24"/>
                <w:szCs w:val="24"/>
              </w:rPr>
            </w:pPr>
          </w:p>
        </w:tc>
        <w:tc>
          <w:tcPr>
            <w:tcW w:w="390" w:type="dxa"/>
            <w:tcBorders>
              <w:top w:val="nil"/>
              <w:left w:val="nil"/>
              <w:bottom w:val="single" w:color="auto" w:sz="8" w:space="0"/>
              <w:right w:val="nil"/>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d.</w:t>
            </w:r>
          </w:p>
        </w:tc>
        <w:tc>
          <w:tcPr>
            <w:tcW w:w="3044" w:type="dxa"/>
            <w:tcBorders>
              <w:top w:val="nil"/>
              <w:left w:val="nil"/>
              <w:bottom w:val="single" w:color="auto" w:sz="8" w:space="0"/>
              <w:right w:val="single" w:color="auto" w:sz="8" w:space="0"/>
            </w:tcBorders>
            <w:shd w:val="clear" w:color="auto" w:fill="auto"/>
          </w:tcPr>
          <w:p>
            <w:pPr>
              <w:spacing w:after="0" w:line="360" w:lineRule="auto"/>
              <w:rPr>
                <w:rFonts w:hint="default" w:ascii="Cambria" w:hAnsi="Cambria" w:cs="Cambria"/>
                <w:color w:val="000000"/>
                <w:sz w:val="24"/>
                <w:szCs w:val="24"/>
              </w:rPr>
            </w:pPr>
            <w:r>
              <w:rPr>
                <w:rFonts w:hint="default" w:ascii="Cambria" w:hAnsi="Cambria" w:cs="Cambria"/>
                <w:color w:val="000000"/>
                <w:sz w:val="24"/>
                <w:szCs w:val="24"/>
              </w:rPr>
              <w:t>Persentase Peningkatan  Sentra UKM Potensial yang Dikembangkan</w:t>
            </w:r>
          </w:p>
        </w:tc>
        <w:tc>
          <w:tcPr>
            <w:tcW w:w="100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30 UKM</w:t>
            </w:r>
          </w:p>
        </w:tc>
        <w:tc>
          <w:tcPr>
            <w:tcW w:w="99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35 UKM</w:t>
            </w:r>
          </w:p>
        </w:tc>
        <w:tc>
          <w:tcPr>
            <w:tcW w:w="1035"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40 UKM</w:t>
            </w:r>
          </w:p>
        </w:tc>
        <w:tc>
          <w:tcPr>
            <w:tcW w:w="105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45 UKM</w:t>
            </w:r>
          </w:p>
        </w:tc>
        <w:tc>
          <w:tcPr>
            <w:tcW w:w="1020" w:type="dxa"/>
            <w:tcBorders>
              <w:top w:val="nil"/>
              <w:left w:val="nil"/>
              <w:bottom w:val="single" w:color="auto" w:sz="8" w:space="0"/>
              <w:right w:val="single" w:color="auto" w:sz="8" w:space="0"/>
            </w:tcBorders>
            <w:shd w:val="clear" w:color="auto" w:fill="auto"/>
          </w:tcPr>
          <w:p>
            <w:pPr>
              <w:spacing w:after="0" w:line="360" w:lineRule="auto"/>
              <w:jc w:val="center"/>
              <w:rPr>
                <w:rFonts w:hint="default" w:ascii="Cambria" w:hAnsi="Cambria" w:cs="Cambria"/>
                <w:color w:val="000000"/>
                <w:sz w:val="24"/>
                <w:szCs w:val="24"/>
              </w:rPr>
            </w:pPr>
            <w:r>
              <w:rPr>
                <w:rFonts w:hint="default" w:ascii="Cambria" w:hAnsi="Cambria" w:cs="Cambria"/>
                <w:color w:val="000000"/>
                <w:sz w:val="24"/>
                <w:szCs w:val="24"/>
              </w:rPr>
              <w:t>45 UKM</w:t>
            </w:r>
          </w:p>
        </w:tc>
      </w:tr>
    </w:tbl>
    <w:tbl>
      <w:tblPr>
        <w:tblStyle w:val="3"/>
        <w:tblpPr w:leftFromText="180" w:rightFromText="180" w:vertAnchor="text" w:horzAnchor="page" w:tblpX="6046" w:tblpY="30"/>
        <w:tblW w:w="4321" w:type="dxa"/>
        <w:tblInd w:w="0" w:type="dxa"/>
        <w:tblLayout w:type="autofit"/>
        <w:tblCellMar>
          <w:top w:w="0" w:type="dxa"/>
          <w:left w:w="108" w:type="dxa"/>
          <w:bottom w:w="0" w:type="dxa"/>
          <w:right w:w="108" w:type="dxa"/>
        </w:tblCellMar>
      </w:tblPr>
      <w:tblGrid>
        <w:gridCol w:w="4321"/>
      </w:tblGrid>
      <w:tr>
        <w:tblPrEx>
          <w:tblCellMar>
            <w:top w:w="0" w:type="dxa"/>
            <w:left w:w="108" w:type="dxa"/>
            <w:bottom w:w="0" w:type="dxa"/>
            <w:right w:w="108" w:type="dxa"/>
          </w:tblCellMar>
        </w:tblPrEx>
        <w:trPr>
          <w:trHeight w:val="306" w:hRule="atLeast"/>
        </w:trPr>
        <w:tc>
          <w:tcPr>
            <w:tcW w:w="4321" w:type="dxa"/>
            <w:tcBorders>
              <w:top w:val="nil"/>
              <w:left w:val="nil"/>
              <w:bottom w:val="nil"/>
              <w:right w:val="nil"/>
            </w:tcBorders>
            <w:shd w:val="clear" w:color="auto" w:fill="auto"/>
            <w:noWrap/>
            <w:vAlign w:val="bottom"/>
          </w:tcPr>
          <w:p>
            <w:pPr>
              <w:spacing w:after="0"/>
              <w:rPr>
                <w:rFonts w:hint="default" w:ascii="Cambria" w:hAnsi="Cambria" w:cs="Cambria"/>
                <w:b/>
                <w:bCs/>
                <w:color w:val="000000"/>
                <w:sz w:val="24"/>
                <w:szCs w:val="24"/>
              </w:rPr>
            </w:pPr>
            <w:r>
              <w:rPr>
                <w:rFonts w:hint="default" w:ascii="Cambria" w:hAnsi="Cambria" w:cs="Cambria"/>
                <w:b/>
                <w:bCs/>
                <w:color w:val="000000"/>
                <w:sz w:val="24"/>
                <w:szCs w:val="24"/>
              </w:rPr>
              <w:t xml:space="preserve">     </w:t>
            </w:r>
          </w:p>
          <w:p>
            <w:pPr>
              <w:ind w:left="426"/>
              <w:rPr>
                <w:rFonts w:hint="default" w:ascii="Cambria" w:hAnsi="Cambria" w:cs="Cambria"/>
                <w:b/>
                <w:bCs/>
                <w:color w:val="000000"/>
                <w:sz w:val="24"/>
                <w:szCs w:val="24"/>
              </w:rPr>
            </w:pPr>
            <w:r>
              <w:rPr>
                <w:rFonts w:hint="default" w:ascii="Cambria" w:hAnsi="Cambria" w:cs="Cambria"/>
                <w:b/>
                <w:bCs/>
                <w:color w:val="000000"/>
                <w:sz w:val="24"/>
                <w:szCs w:val="24"/>
              </w:rPr>
              <w:t xml:space="preserve"> KEPALA DINAS </w:t>
            </w:r>
          </w:p>
        </w:tc>
      </w:tr>
      <w:tr>
        <w:tblPrEx>
          <w:tblCellMar>
            <w:top w:w="0" w:type="dxa"/>
            <w:left w:w="108" w:type="dxa"/>
            <w:bottom w:w="0" w:type="dxa"/>
            <w:right w:w="108" w:type="dxa"/>
          </w:tblCellMar>
        </w:tblPrEx>
        <w:trPr>
          <w:trHeight w:val="542" w:hRule="atLeast"/>
        </w:trPr>
        <w:tc>
          <w:tcPr>
            <w:tcW w:w="4321" w:type="dxa"/>
            <w:tcBorders>
              <w:top w:val="nil"/>
              <w:left w:val="nil"/>
              <w:bottom w:val="nil"/>
              <w:right w:val="nil"/>
            </w:tcBorders>
            <w:shd w:val="clear" w:color="auto" w:fill="auto"/>
            <w:noWrap/>
            <w:vAlign w:val="bottom"/>
          </w:tcPr>
          <w:p>
            <w:pPr>
              <w:rPr>
                <w:rFonts w:hint="default" w:ascii="Cambria" w:hAnsi="Cambria" w:cs="Cambria"/>
                <w:color w:val="000000"/>
                <w:sz w:val="24"/>
                <w:szCs w:val="24"/>
              </w:rPr>
            </w:pPr>
          </w:p>
          <w:p>
            <w:pPr>
              <w:rPr>
                <w:rFonts w:hint="default" w:ascii="Cambria" w:hAnsi="Cambria" w:cs="Cambria"/>
                <w:color w:val="000000"/>
                <w:sz w:val="24"/>
                <w:szCs w:val="24"/>
              </w:rPr>
            </w:pPr>
          </w:p>
          <w:p>
            <w:pPr>
              <w:rPr>
                <w:rFonts w:hint="default" w:ascii="Cambria" w:hAnsi="Cambria" w:cs="Cambria"/>
                <w:color w:val="000000"/>
                <w:sz w:val="24"/>
                <w:szCs w:val="24"/>
              </w:rPr>
            </w:pPr>
          </w:p>
        </w:tc>
      </w:tr>
      <w:tr>
        <w:tblPrEx>
          <w:tblCellMar>
            <w:top w:w="0" w:type="dxa"/>
            <w:left w:w="108" w:type="dxa"/>
            <w:bottom w:w="0" w:type="dxa"/>
            <w:right w:w="108" w:type="dxa"/>
          </w:tblCellMar>
        </w:tblPrEx>
        <w:trPr>
          <w:trHeight w:val="326" w:hRule="atLeast"/>
        </w:trPr>
        <w:tc>
          <w:tcPr>
            <w:tcW w:w="4321" w:type="dxa"/>
            <w:tcBorders>
              <w:top w:val="nil"/>
              <w:left w:val="nil"/>
              <w:bottom w:val="nil"/>
              <w:right w:val="nil"/>
            </w:tcBorders>
            <w:shd w:val="clear" w:color="auto" w:fill="auto"/>
            <w:noWrap/>
            <w:vAlign w:val="bottom"/>
          </w:tcPr>
          <w:p>
            <w:pPr>
              <w:spacing w:after="0"/>
              <w:rPr>
                <w:rFonts w:hint="default" w:ascii="Cambria" w:hAnsi="Cambria" w:cs="Cambria"/>
                <w:b/>
                <w:bCs/>
                <w:color w:val="000000"/>
                <w:sz w:val="24"/>
                <w:szCs w:val="24"/>
                <w:u w:val="single"/>
              </w:rPr>
            </w:pPr>
            <w:r>
              <w:rPr>
                <w:rFonts w:hint="default" w:ascii="Cambria" w:hAnsi="Cambria" w:cs="Cambria"/>
                <w:b/>
                <w:bCs/>
                <w:color w:val="000000"/>
                <w:sz w:val="24"/>
                <w:szCs w:val="24"/>
              </w:rPr>
              <w:t xml:space="preserve">        </w:t>
            </w:r>
            <w:r>
              <w:rPr>
                <w:rFonts w:hint="default" w:ascii="Cambria" w:hAnsi="Cambria" w:cs="Cambria"/>
                <w:b/>
                <w:bCs/>
                <w:color w:val="000000"/>
                <w:sz w:val="24"/>
                <w:szCs w:val="24"/>
                <w:u w:val="single"/>
              </w:rPr>
              <w:t>ANDI ABDURRAHMAN, S.E., M.Si</w:t>
            </w:r>
          </w:p>
        </w:tc>
      </w:tr>
      <w:tr>
        <w:tblPrEx>
          <w:tblCellMar>
            <w:top w:w="0" w:type="dxa"/>
            <w:left w:w="108" w:type="dxa"/>
            <w:bottom w:w="0" w:type="dxa"/>
            <w:right w:w="108" w:type="dxa"/>
          </w:tblCellMar>
        </w:tblPrEx>
        <w:trPr>
          <w:trHeight w:val="275" w:hRule="atLeast"/>
        </w:trPr>
        <w:tc>
          <w:tcPr>
            <w:tcW w:w="4321" w:type="dxa"/>
            <w:tcBorders>
              <w:top w:val="nil"/>
              <w:left w:val="nil"/>
              <w:bottom w:val="nil"/>
              <w:right w:val="nil"/>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 xml:space="preserve">         Pangkat : Pembina Utama Muda</w:t>
            </w:r>
          </w:p>
        </w:tc>
      </w:tr>
      <w:tr>
        <w:tblPrEx>
          <w:tblCellMar>
            <w:top w:w="0" w:type="dxa"/>
            <w:left w:w="108" w:type="dxa"/>
            <w:bottom w:w="0" w:type="dxa"/>
            <w:right w:w="108" w:type="dxa"/>
          </w:tblCellMar>
        </w:tblPrEx>
        <w:trPr>
          <w:trHeight w:val="275" w:hRule="atLeast"/>
        </w:trPr>
        <w:tc>
          <w:tcPr>
            <w:tcW w:w="4321" w:type="dxa"/>
            <w:tcBorders>
              <w:top w:val="nil"/>
              <w:left w:val="nil"/>
              <w:bottom w:val="nil"/>
              <w:right w:val="nil"/>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 xml:space="preserve">         NIP. </w:t>
            </w:r>
            <w:r>
              <w:rPr>
                <w:rFonts w:hint="default" w:ascii="Cambria" w:hAnsi="Cambria" w:cs="Cambria"/>
                <w:sz w:val="24"/>
                <w:szCs w:val="24"/>
              </w:rPr>
              <w:t xml:space="preserve"> 19670526 199703 1 005</w:t>
            </w:r>
          </w:p>
        </w:tc>
      </w:tr>
    </w:tbl>
    <w:p>
      <w:pPr>
        <w:pStyle w:val="13"/>
        <w:spacing w:after="0" w:line="360" w:lineRule="auto"/>
        <w:ind w:left="0"/>
        <w:jc w:val="right"/>
        <w:rPr>
          <w:rFonts w:hint="default" w:ascii="Cambria" w:hAnsi="Cambria" w:cs="Cambria"/>
          <w:b/>
          <w:sz w:val="24"/>
          <w:szCs w:val="24"/>
        </w:rPr>
      </w:pPr>
    </w:p>
    <w:p>
      <w:pPr>
        <w:pStyle w:val="13"/>
        <w:spacing w:after="0" w:line="360" w:lineRule="auto"/>
        <w:ind w:left="426" w:firstLine="992"/>
        <w:jc w:val="both"/>
        <w:rPr>
          <w:rFonts w:hint="default" w:ascii="Cambria" w:hAnsi="Cambria" w:cs="Cambria"/>
          <w:b/>
          <w:sz w:val="24"/>
          <w:szCs w:val="24"/>
        </w:rPr>
      </w:pPr>
    </w:p>
    <w:p>
      <w:pPr>
        <w:pStyle w:val="13"/>
        <w:spacing w:after="0" w:line="360" w:lineRule="auto"/>
        <w:ind w:left="426" w:firstLine="992"/>
        <w:jc w:val="both"/>
        <w:rPr>
          <w:rFonts w:hint="default" w:ascii="Cambria" w:hAnsi="Cambria" w:cs="Cambria"/>
          <w:b/>
          <w:sz w:val="24"/>
          <w:szCs w:val="24"/>
        </w:rPr>
      </w:pPr>
    </w:p>
    <w:p>
      <w:pPr>
        <w:pStyle w:val="13"/>
        <w:spacing w:after="0" w:line="360" w:lineRule="auto"/>
        <w:ind w:left="426" w:firstLine="992"/>
        <w:jc w:val="both"/>
        <w:rPr>
          <w:rFonts w:hint="default" w:ascii="Cambria" w:hAnsi="Cambria" w:cs="Cambria"/>
          <w:b/>
          <w:sz w:val="24"/>
          <w:szCs w:val="24"/>
        </w:rPr>
      </w:pPr>
    </w:p>
    <w:p>
      <w:pPr>
        <w:pStyle w:val="13"/>
        <w:spacing w:after="0" w:line="360" w:lineRule="auto"/>
        <w:ind w:left="426" w:firstLine="992"/>
        <w:jc w:val="both"/>
        <w:rPr>
          <w:rFonts w:hint="default" w:ascii="Cambria" w:hAnsi="Cambria" w:cs="Cambria"/>
          <w:b/>
          <w:sz w:val="24"/>
          <w:szCs w:val="24"/>
        </w:rPr>
      </w:pPr>
    </w:p>
    <w:p>
      <w:pPr>
        <w:pStyle w:val="13"/>
        <w:spacing w:after="0" w:line="360" w:lineRule="auto"/>
        <w:ind w:left="426" w:firstLine="992"/>
        <w:jc w:val="both"/>
        <w:rPr>
          <w:rFonts w:hint="default" w:ascii="Cambria" w:hAnsi="Cambria" w:cs="Cambria"/>
          <w:b/>
          <w:sz w:val="24"/>
          <w:szCs w:val="24"/>
        </w:rPr>
      </w:pPr>
    </w:p>
    <w:p>
      <w:pPr>
        <w:pStyle w:val="13"/>
        <w:spacing w:after="0" w:line="360" w:lineRule="auto"/>
        <w:ind w:left="426" w:firstLine="992"/>
        <w:jc w:val="both"/>
        <w:rPr>
          <w:rFonts w:hint="default" w:ascii="Cambria" w:hAnsi="Cambria" w:cs="Cambria"/>
          <w:b/>
          <w:sz w:val="24"/>
          <w:szCs w:val="24"/>
        </w:rPr>
      </w:pPr>
    </w:p>
    <w:p>
      <w:pPr>
        <w:pStyle w:val="13"/>
        <w:spacing w:after="0" w:line="360" w:lineRule="auto"/>
        <w:ind w:left="426" w:firstLine="992"/>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spacing w:after="0" w:line="360" w:lineRule="auto"/>
        <w:ind w:left="0"/>
        <w:jc w:val="both"/>
        <w:rPr>
          <w:rFonts w:hint="default" w:ascii="Cambria" w:hAnsi="Cambria" w:cs="Cambria"/>
          <w:b/>
          <w:sz w:val="24"/>
          <w:szCs w:val="24"/>
        </w:rPr>
      </w:pPr>
    </w:p>
    <w:p>
      <w:pPr>
        <w:pStyle w:val="13"/>
        <w:numPr>
          <w:ilvl w:val="3"/>
          <w:numId w:val="23"/>
        </w:numPr>
        <w:spacing w:after="0" w:line="360" w:lineRule="auto"/>
        <w:ind w:left="426" w:hanging="426"/>
        <w:rPr>
          <w:rFonts w:hint="default" w:ascii="Cambria" w:hAnsi="Cambria" w:cs="Cambria"/>
          <w:b/>
          <w:sz w:val="24"/>
          <w:szCs w:val="24"/>
        </w:rPr>
      </w:pPr>
      <w:r>
        <w:rPr>
          <w:rFonts w:hint="default" w:ascii="Cambria" w:hAnsi="Cambria" w:cs="Cambria"/>
          <w:b/>
          <w:sz w:val="24"/>
          <w:szCs w:val="24"/>
        </w:rPr>
        <w:t>RENCANA KERJA TAHUNAN</w:t>
      </w:r>
    </w:p>
    <w:p>
      <w:pPr>
        <w:pStyle w:val="13"/>
        <w:spacing w:after="0" w:line="360" w:lineRule="auto"/>
        <w:ind w:left="426" w:firstLine="992"/>
        <w:jc w:val="both"/>
        <w:rPr>
          <w:rFonts w:hint="default" w:ascii="Cambria" w:hAnsi="Cambria" w:cs="Cambria"/>
          <w:sz w:val="24"/>
          <w:szCs w:val="24"/>
          <w:lang w:val="en-US"/>
        </w:rPr>
      </w:pPr>
      <w:r>
        <w:rPr>
          <w:rFonts w:hint="default" w:ascii="Cambria" w:hAnsi="Cambria" w:cs="Cambria"/>
          <w:sz w:val="24"/>
          <w:szCs w:val="24"/>
          <w:lang w:val="fi-FI"/>
        </w:rPr>
        <w:t>Rencana Kinerja Tahunan (RKT) merupakan proses mulai dari persiapan perencanaan kinerja, pelaksanaan koordinasi antara bidang-bidang di lingkungan Dinas Perindustrian, Perdagangan, Koperasi Usaha kecil dan Menengah, telaah dan evaluasi, sampai dengan penetapan anggaran yang diwujudkan didalam Rencana Keria Anggaran (RKA) dan penetapan kinerja yang diwujudkan dalam Rencana Kinerja Tahunan (RKT)</w:t>
      </w:r>
      <w:r>
        <w:rPr>
          <w:rFonts w:hint="default" w:ascii="Cambria" w:hAnsi="Cambria" w:cs="Cambria"/>
          <w:sz w:val="24"/>
          <w:szCs w:val="24"/>
          <w:lang w:val="en-US"/>
        </w:rPr>
        <w:t>.</w:t>
      </w:r>
    </w:p>
    <w:p>
      <w:pPr>
        <w:tabs>
          <w:tab w:val="left" w:pos="993"/>
          <w:tab w:val="left" w:pos="1701"/>
        </w:tabs>
        <w:spacing w:after="0" w:line="360" w:lineRule="auto"/>
        <w:jc w:val="center"/>
        <w:rPr>
          <w:rFonts w:hint="default" w:ascii="Cambria" w:hAnsi="Cambria" w:cs="Cambria"/>
          <w:sz w:val="24"/>
          <w:szCs w:val="24"/>
          <w:lang w:val="fi-FI"/>
        </w:rPr>
      </w:pPr>
      <w:r>
        <w:rPr>
          <w:rFonts w:hint="default" w:ascii="Cambria" w:hAnsi="Cambria" w:cs="Cambria"/>
          <w:sz w:val="24"/>
          <w:szCs w:val="24"/>
          <w:lang w:val="fi-FI"/>
        </w:rPr>
        <w:t>Tabel 2.3.1</w:t>
      </w:r>
    </w:p>
    <w:p>
      <w:pPr>
        <w:tabs>
          <w:tab w:val="left" w:pos="993"/>
          <w:tab w:val="left" w:pos="1701"/>
        </w:tabs>
        <w:spacing w:after="0" w:line="240" w:lineRule="auto"/>
        <w:jc w:val="center"/>
        <w:rPr>
          <w:rFonts w:hint="default" w:ascii="Cambria" w:hAnsi="Cambria" w:cs="Cambria"/>
          <w:sz w:val="24"/>
          <w:szCs w:val="24"/>
          <w:lang w:val="en-US"/>
        </w:rPr>
      </w:pPr>
      <w:r>
        <w:rPr>
          <w:rFonts w:hint="default" w:ascii="Cambria" w:hAnsi="Cambria" w:cs="Cambria"/>
          <w:sz w:val="24"/>
          <w:szCs w:val="24"/>
          <w:lang w:val="fi-FI"/>
        </w:rPr>
        <w:t>Rencana Kerja Tahun 202</w:t>
      </w:r>
      <w:r>
        <w:rPr>
          <w:rFonts w:hint="default" w:ascii="Cambria" w:hAnsi="Cambria" w:cs="Cambria"/>
          <w:sz w:val="24"/>
          <w:szCs w:val="24"/>
          <w:lang w:val="en-US"/>
        </w:rPr>
        <w:t>2</w:t>
      </w:r>
    </w:p>
    <w:tbl>
      <w:tblPr>
        <w:tblStyle w:val="3"/>
        <w:tblpPr w:leftFromText="180" w:rightFromText="180" w:vertAnchor="text" w:horzAnchor="page" w:tblpX="1510" w:tblpY="429"/>
        <w:tblOverlap w:val="never"/>
        <w:tblW w:w="9316" w:type="dxa"/>
        <w:tblInd w:w="0" w:type="dxa"/>
        <w:tblLayout w:type="fixed"/>
        <w:tblCellMar>
          <w:top w:w="0" w:type="dxa"/>
          <w:left w:w="108" w:type="dxa"/>
          <w:bottom w:w="0" w:type="dxa"/>
          <w:right w:w="108" w:type="dxa"/>
        </w:tblCellMar>
      </w:tblPr>
      <w:tblGrid>
        <w:gridCol w:w="390"/>
        <w:gridCol w:w="405"/>
        <w:gridCol w:w="450"/>
        <w:gridCol w:w="2041"/>
        <w:gridCol w:w="2145"/>
        <w:gridCol w:w="870"/>
        <w:gridCol w:w="750"/>
        <w:gridCol w:w="1500"/>
        <w:gridCol w:w="765"/>
      </w:tblGrid>
      <w:tr>
        <w:tblPrEx>
          <w:tblCellMar>
            <w:top w:w="0" w:type="dxa"/>
            <w:left w:w="108" w:type="dxa"/>
            <w:bottom w:w="0" w:type="dxa"/>
            <w:right w:w="108" w:type="dxa"/>
          </w:tblCellMar>
        </w:tblPrEx>
        <w:trPr>
          <w:trHeight w:val="315" w:hRule="atLeast"/>
        </w:trPr>
        <w:tc>
          <w:tcPr>
            <w:tcW w:w="1245" w:type="dxa"/>
            <w:gridSpan w:val="3"/>
            <w:vMerge w:val="restart"/>
            <w:tcBorders>
              <w:top w:val="double" w:color="000000" w:sz="4" w:space="0"/>
              <w:left w:val="double" w:color="000000" w:sz="4" w:space="0"/>
              <w:bottom w:val="double" w:color="000000" w:sz="4"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Kode</w:t>
            </w:r>
          </w:p>
        </w:tc>
        <w:tc>
          <w:tcPr>
            <w:tcW w:w="2041" w:type="dxa"/>
            <w:vMerge w:val="restart"/>
            <w:tcBorders>
              <w:top w:val="double" w:color="000000" w:sz="4" w:space="0"/>
              <w:left w:val="single" w:color="000000" w:sz="2" w:space="0"/>
              <w:bottom w:val="double" w:color="000000" w:sz="4" w:space="0"/>
              <w:right w:val="nil"/>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Urusan/Bidang Urusan Pemerintahan Daerah dan Program/Kegiatan</w:t>
            </w:r>
          </w:p>
        </w:tc>
        <w:tc>
          <w:tcPr>
            <w:tcW w:w="2145" w:type="dxa"/>
            <w:vMerge w:val="restart"/>
            <w:tcBorders>
              <w:top w:val="double" w:color="000000" w:sz="4" w:space="0"/>
              <w:left w:val="single" w:color="000000" w:sz="2" w:space="0"/>
              <w:bottom w:val="double" w:color="000000" w:sz="4"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Indikator Kinerja Tujuan, Sasaran, Program (outcome) dan Kegiatan (output)</w:t>
            </w:r>
          </w:p>
        </w:tc>
        <w:tc>
          <w:tcPr>
            <w:tcW w:w="3120" w:type="dxa"/>
            <w:gridSpan w:val="3"/>
            <w:tcBorders>
              <w:top w:val="double" w:color="000000" w:sz="4" w:space="0"/>
              <w:left w:val="single" w:color="000000" w:sz="2" w:space="0"/>
              <w:bottom w:val="nil"/>
              <w:right w:val="double" w:color="000000" w:sz="4" w:space="0"/>
            </w:tcBorders>
            <w:shd w:val="clear" w:color="auto" w:fill="auto"/>
            <w:vAlign w:val="center"/>
          </w:tcPr>
          <w:p>
            <w:pPr>
              <w:jc w:val="center"/>
              <w:textAlignment w:val="top"/>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Rencana Tahun 2022</w:t>
            </w:r>
          </w:p>
        </w:tc>
        <w:tc>
          <w:tcPr>
            <w:tcW w:w="765" w:type="dxa"/>
            <w:vMerge w:val="restart"/>
            <w:tcBorders>
              <w:top w:val="double" w:color="000000" w:sz="4" w:space="0"/>
              <w:left w:val="nil"/>
              <w:bottom w:val="double" w:color="000000" w:sz="4"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Sumber</w:t>
            </w:r>
          </w:p>
        </w:tc>
      </w:tr>
      <w:tr>
        <w:tblPrEx>
          <w:tblCellMar>
            <w:top w:w="0" w:type="dxa"/>
            <w:left w:w="108" w:type="dxa"/>
            <w:bottom w:w="0" w:type="dxa"/>
            <w:right w:w="108" w:type="dxa"/>
          </w:tblCellMar>
        </w:tblPrEx>
        <w:trPr>
          <w:trHeight w:val="445" w:hRule="atLeast"/>
        </w:trPr>
        <w:tc>
          <w:tcPr>
            <w:tcW w:w="1245" w:type="dxa"/>
            <w:gridSpan w:val="3"/>
            <w:vMerge w:val="continue"/>
            <w:tcBorders>
              <w:top w:val="double" w:color="000000" w:sz="4" w:space="0"/>
              <w:left w:val="double" w:color="000000" w:sz="4" w:space="0"/>
              <w:bottom w:val="double" w:color="000000" w:sz="4"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vMerge w:val="continue"/>
            <w:tcBorders>
              <w:top w:val="double" w:color="000000" w:sz="4" w:space="0"/>
              <w:left w:val="single" w:color="000000" w:sz="2" w:space="0"/>
              <w:bottom w:val="double" w:color="000000" w:sz="4" w:space="0"/>
              <w:right w:val="nil"/>
            </w:tcBorders>
            <w:shd w:val="clear" w:color="auto" w:fill="auto"/>
            <w:vAlign w:val="center"/>
          </w:tcPr>
          <w:p>
            <w:pPr>
              <w:jc w:val="center"/>
              <w:rPr>
                <w:rFonts w:hint="default" w:ascii="Cambria" w:hAnsi="Cambria" w:eastAsia="Open Sans" w:cs="Cambria"/>
                <w:b/>
                <w:bCs/>
                <w:color w:val="000000"/>
                <w:sz w:val="18"/>
                <w:szCs w:val="18"/>
              </w:rPr>
            </w:pPr>
          </w:p>
        </w:tc>
        <w:tc>
          <w:tcPr>
            <w:tcW w:w="2145" w:type="dxa"/>
            <w:vMerge w:val="continue"/>
            <w:tcBorders>
              <w:top w:val="double" w:color="000000" w:sz="4" w:space="0"/>
              <w:left w:val="single" w:color="000000" w:sz="2" w:space="0"/>
              <w:bottom w:val="double" w:color="000000" w:sz="4"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870" w:type="dxa"/>
            <w:vMerge w:val="restart"/>
            <w:tcBorders>
              <w:top w:val="single" w:color="000000" w:sz="2" w:space="0"/>
              <w:left w:val="single" w:color="000000" w:sz="2" w:space="0"/>
              <w:bottom w:val="double" w:color="000000" w:sz="4"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Lokasi</w:t>
            </w:r>
          </w:p>
        </w:tc>
        <w:tc>
          <w:tcPr>
            <w:tcW w:w="750" w:type="dxa"/>
            <w:vMerge w:val="restart"/>
            <w:tcBorders>
              <w:top w:val="single" w:color="000000" w:sz="2" w:space="0"/>
              <w:left w:val="single" w:color="000000" w:sz="2" w:space="0"/>
              <w:bottom w:val="double" w:color="000000" w:sz="4"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Target Capaian Kinerja</w:t>
            </w:r>
          </w:p>
        </w:tc>
        <w:tc>
          <w:tcPr>
            <w:tcW w:w="1500" w:type="dxa"/>
            <w:vMerge w:val="restart"/>
            <w:tcBorders>
              <w:top w:val="single" w:color="000000" w:sz="2" w:space="0"/>
              <w:left w:val="single" w:color="000000" w:sz="2" w:space="0"/>
              <w:bottom w:val="double" w:color="000000" w:sz="4" w:space="0"/>
              <w:right w:val="double" w:color="000000" w:sz="4" w:space="0"/>
            </w:tcBorders>
            <w:shd w:val="clear" w:color="auto" w:fill="auto"/>
          </w:tcPr>
          <w:p>
            <w:pPr>
              <w:jc w:val="center"/>
              <w:textAlignment w:val="top"/>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Kebutuhan Dana/Pagu Indikatif</w:t>
            </w:r>
          </w:p>
        </w:tc>
        <w:tc>
          <w:tcPr>
            <w:tcW w:w="765" w:type="dxa"/>
            <w:vMerge w:val="continue"/>
            <w:tcBorders>
              <w:top w:val="double" w:color="000000" w:sz="4" w:space="0"/>
              <w:left w:val="nil"/>
              <w:bottom w:val="double" w:color="000000" w:sz="4"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r>
      <w:tr>
        <w:tblPrEx>
          <w:tblCellMar>
            <w:top w:w="0" w:type="dxa"/>
            <w:left w:w="108" w:type="dxa"/>
            <w:bottom w:w="0" w:type="dxa"/>
            <w:right w:w="108" w:type="dxa"/>
          </w:tblCellMar>
        </w:tblPrEx>
        <w:trPr>
          <w:trHeight w:val="570" w:hRule="atLeast"/>
        </w:trPr>
        <w:tc>
          <w:tcPr>
            <w:tcW w:w="1245" w:type="dxa"/>
            <w:gridSpan w:val="3"/>
            <w:vMerge w:val="continue"/>
            <w:tcBorders>
              <w:top w:val="double" w:color="000000" w:sz="4" w:space="0"/>
              <w:left w:val="double" w:color="000000" w:sz="4" w:space="0"/>
              <w:bottom w:val="double" w:color="000000" w:sz="4"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vMerge w:val="continue"/>
            <w:tcBorders>
              <w:top w:val="double" w:color="000000" w:sz="4" w:space="0"/>
              <w:left w:val="single" w:color="000000" w:sz="2" w:space="0"/>
              <w:bottom w:val="double" w:color="000000" w:sz="4" w:space="0"/>
              <w:right w:val="nil"/>
            </w:tcBorders>
            <w:shd w:val="clear" w:color="auto" w:fill="auto"/>
            <w:vAlign w:val="center"/>
          </w:tcPr>
          <w:p>
            <w:pPr>
              <w:jc w:val="center"/>
              <w:rPr>
                <w:rFonts w:hint="default" w:ascii="Cambria" w:hAnsi="Cambria" w:eastAsia="Open Sans" w:cs="Cambria"/>
                <w:b/>
                <w:bCs/>
                <w:color w:val="000000"/>
                <w:sz w:val="18"/>
                <w:szCs w:val="18"/>
              </w:rPr>
            </w:pPr>
          </w:p>
        </w:tc>
        <w:tc>
          <w:tcPr>
            <w:tcW w:w="2145" w:type="dxa"/>
            <w:vMerge w:val="continue"/>
            <w:tcBorders>
              <w:top w:val="double" w:color="000000" w:sz="4" w:space="0"/>
              <w:left w:val="single" w:color="000000" w:sz="2" w:space="0"/>
              <w:bottom w:val="double" w:color="000000" w:sz="4"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870" w:type="dxa"/>
            <w:vMerge w:val="continue"/>
            <w:tcBorders>
              <w:top w:val="single" w:color="000000" w:sz="2" w:space="0"/>
              <w:left w:val="single" w:color="000000" w:sz="2" w:space="0"/>
              <w:bottom w:val="double" w:color="000000" w:sz="4"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750" w:type="dxa"/>
            <w:vMerge w:val="continue"/>
            <w:tcBorders>
              <w:top w:val="single" w:color="000000" w:sz="2" w:space="0"/>
              <w:left w:val="single" w:color="000000" w:sz="2" w:space="0"/>
              <w:bottom w:val="double" w:color="000000" w:sz="4"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1500" w:type="dxa"/>
            <w:vMerge w:val="continue"/>
            <w:tcBorders>
              <w:top w:val="single" w:color="000000" w:sz="2" w:space="0"/>
              <w:left w:val="single" w:color="000000" w:sz="2" w:space="0"/>
              <w:bottom w:val="double" w:color="000000" w:sz="4" w:space="0"/>
              <w:right w:val="double" w:color="000000" w:sz="4" w:space="0"/>
            </w:tcBorders>
            <w:shd w:val="clear" w:color="auto" w:fill="auto"/>
          </w:tcPr>
          <w:p>
            <w:pPr>
              <w:jc w:val="center"/>
              <w:rPr>
                <w:rFonts w:hint="default" w:ascii="Cambria" w:hAnsi="Cambria" w:eastAsia="Open Sans" w:cs="Cambria"/>
                <w:b/>
                <w:bCs/>
                <w:color w:val="000000"/>
                <w:sz w:val="18"/>
                <w:szCs w:val="18"/>
              </w:rPr>
            </w:pPr>
          </w:p>
        </w:tc>
        <w:tc>
          <w:tcPr>
            <w:tcW w:w="765" w:type="dxa"/>
            <w:vMerge w:val="continue"/>
            <w:tcBorders>
              <w:top w:val="double" w:color="000000" w:sz="4" w:space="0"/>
              <w:left w:val="nil"/>
              <w:bottom w:val="double" w:color="000000" w:sz="4"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r>
      <w:tr>
        <w:tblPrEx>
          <w:tblCellMar>
            <w:top w:w="0" w:type="dxa"/>
            <w:left w:w="108" w:type="dxa"/>
            <w:bottom w:w="0" w:type="dxa"/>
            <w:right w:w="108" w:type="dxa"/>
          </w:tblCellMar>
        </w:tblPrEx>
        <w:trPr>
          <w:trHeight w:val="320" w:hRule="atLeast"/>
        </w:trPr>
        <w:tc>
          <w:tcPr>
            <w:tcW w:w="1245" w:type="dxa"/>
            <w:gridSpan w:val="3"/>
            <w:tcBorders>
              <w:top w:val="double" w:color="000000" w:sz="4" w:space="0"/>
              <w:left w:val="double" w:color="000000" w:sz="4" w:space="0"/>
              <w:bottom w:val="double" w:color="000000" w:sz="4" w:space="0"/>
              <w:right w:val="single" w:color="000000" w:sz="2" w:space="0"/>
            </w:tcBorders>
            <w:shd w:val="clear" w:color="auto" w:fill="C4D79B"/>
            <w:noWrap/>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w:t>
            </w:r>
          </w:p>
        </w:tc>
        <w:tc>
          <w:tcPr>
            <w:tcW w:w="2041" w:type="dxa"/>
            <w:tcBorders>
              <w:top w:val="double" w:color="000000" w:sz="4" w:space="0"/>
              <w:left w:val="nil"/>
              <w:bottom w:val="double" w:color="000000" w:sz="4" w:space="0"/>
              <w:right w:val="nil"/>
            </w:tcBorders>
            <w:shd w:val="clear" w:color="auto" w:fill="C4D79B"/>
            <w:noWrap/>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2</w:t>
            </w:r>
          </w:p>
        </w:tc>
        <w:tc>
          <w:tcPr>
            <w:tcW w:w="2145" w:type="dxa"/>
            <w:tcBorders>
              <w:top w:val="double" w:color="000000" w:sz="4" w:space="0"/>
              <w:left w:val="single" w:color="000000" w:sz="2" w:space="0"/>
              <w:bottom w:val="double" w:color="000000" w:sz="4" w:space="0"/>
              <w:right w:val="single" w:color="000000" w:sz="2" w:space="0"/>
            </w:tcBorders>
            <w:shd w:val="clear" w:color="auto" w:fill="C4D79B"/>
            <w:noWrap/>
            <w:vAlign w:val="center"/>
          </w:tcPr>
          <w:p>
            <w:pPr>
              <w:jc w:val="center"/>
              <w:rPr>
                <w:rFonts w:hint="default" w:ascii="Cambria" w:hAnsi="Cambria" w:eastAsia="Open Sans" w:cs="Cambria"/>
                <w:b/>
                <w:bCs/>
                <w:color w:val="000000"/>
                <w:sz w:val="18"/>
                <w:szCs w:val="18"/>
              </w:rPr>
            </w:pPr>
          </w:p>
        </w:tc>
        <w:tc>
          <w:tcPr>
            <w:tcW w:w="870" w:type="dxa"/>
            <w:tcBorders>
              <w:top w:val="double" w:color="000000" w:sz="4" w:space="0"/>
              <w:left w:val="single" w:color="000000" w:sz="2" w:space="0"/>
              <w:bottom w:val="double" w:color="000000" w:sz="4" w:space="0"/>
              <w:right w:val="single" w:color="000000" w:sz="2" w:space="0"/>
            </w:tcBorders>
            <w:shd w:val="clear" w:color="auto" w:fill="C4D79B"/>
            <w:noWrap/>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4</w:t>
            </w:r>
          </w:p>
        </w:tc>
        <w:tc>
          <w:tcPr>
            <w:tcW w:w="750" w:type="dxa"/>
            <w:tcBorders>
              <w:top w:val="double" w:color="000000" w:sz="4" w:space="0"/>
              <w:left w:val="single" w:color="000000" w:sz="2" w:space="0"/>
              <w:bottom w:val="double" w:color="000000" w:sz="4" w:space="0"/>
              <w:right w:val="single" w:color="000000" w:sz="2" w:space="0"/>
            </w:tcBorders>
            <w:shd w:val="clear" w:color="auto" w:fill="C4D79B"/>
            <w:noWrap/>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5</w:t>
            </w:r>
          </w:p>
        </w:tc>
        <w:tc>
          <w:tcPr>
            <w:tcW w:w="1500" w:type="dxa"/>
            <w:tcBorders>
              <w:top w:val="double" w:color="000000" w:sz="4" w:space="0"/>
              <w:left w:val="single" w:color="000000" w:sz="2" w:space="0"/>
              <w:bottom w:val="double" w:color="000000" w:sz="4" w:space="0"/>
              <w:right w:val="double" w:color="000000" w:sz="4" w:space="0"/>
            </w:tcBorders>
            <w:shd w:val="clear" w:color="auto" w:fill="C4D79B"/>
            <w:noWrap/>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6</w:t>
            </w:r>
          </w:p>
        </w:tc>
        <w:tc>
          <w:tcPr>
            <w:tcW w:w="765" w:type="dxa"/>
            <w:tcBorders>
              <w:top w:val="double" w:color="000000" w:sz="4" w:space="0"/>
              <w:left w:val="nil"/>
              <w:bottom w:val="double" w:color="000000" w:sz="4" w:space="0"/>
              <w:right w:val="single" w:color="000000" w:sz="2" w:space="0"/>
            </w:tcBorders>
            <w:shd w:val="clear" w:color="auto" w:fill="C4D79B"/>
            <w:noWrap/>
            <w:vAlign w:val="center"/>
          </w:tcPr>
          <w:p>
            <w:pPr>
              <w:jc w:val="center"/>
              <w:rPr>
                <w:rFonts w:hint="default" w:ascii="Cambria" w:hAnsi="Cambria" w:eastAsia="Open Sans" w:cs="Cambria"/>
                <w:b/>
                <w:bCs/>
                <w:color w:val="000000"/>
                <w:sz w:val="18"/>
                <w:szCs w:val="18"/>
              </w:rPr>
            </w:pPr>
          </w:p>
        </w:tc>
      </w:tr>
      <w:tr>
        <w:tblPrEx>
          <w:tblCellMar>
            <w:top w:w="0" w:type="dxa"/>
            <w:left w:w="108" w:type="dxa"/>
            <w:bottom w:w="0" w:type="dxa"/>
            <w:right w:w="108" w:type="dxa"/>
          </w:tblCellMar>
        </w:tblPrEx>
        <w:trPr>
          <w:trHeight w:val="900" w:hRule="atLeast"/>
        </w:trPr>
        <w:tc>
          <w:tcPr>
            <w:tcW w:w="390" w:type="dxa"/>
            <w:tcBorders>
              <w:top w:val="double" w:color="000000" w:sz="4"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double" w:color="000000" w:sz="4"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double" w:color="000000" w:sz="4"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URUSAN PEMERINTAHAN BIDANG PERINDUSTRIAN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rPr>
                <w:rFonts w:hint="default" w:ascii="Cambria" w:hAnsi="Cambria" w:eastAsia="Open Sans" w:cs="Cambria"/>
                <w:b/>
                <w:bCs/>
                <w:color w:val="000000"/>
                <w:sz w:val="18"/>
                <w:szCs w:val="18"/>
              </w:rPr>
            </w:pPr>
          </w:p>
        </w:tc>
        <w:tc>
          <w:tcPr>
            <w:tcW w:w="870" w:type="dxa"/>
            <w:tcBorders>
              <w:top w:val="nil"/>
              <w:left w:val="nil"/>
              <w:bottom w:val="single" w:color="000000" w:sz="2" w:space="0"/>
              <w:right w:val="nil"/>
            </w:tcBorders>
            <w:shd w:val="clear" w:color="auto" w:fill="auto"/>
            <w:noWrap/>
          </w:tcPr>
          <w:p>
            <w:pPr>
              <w:jc w:val="center"/>
              <w:rPr>
                <w:rFonts w:hint="default" w:ascii="Cambria" w:hAnsi="Cambria" w:eastAsia="Open Sans" w:cs="Cambria"/>
                <w:b/>
                <w:bCs/>
                <w:color w:val="000000"/>
                <w:sz w:val="18"/>
                <w:szCs w:val="18"/>
              </w:rPr>
            </w:pPr>
          </w:p>
        </w:tc>
        <w:tc>
          <w:tcPr>
            <w:tcW w:w="750" w:type="dxa"/>
            <w:tcBorders>
              <w:top w:val="nil"/>
              <w:left w:val="nil"/>
              <w:bottom w:val="single" w:color="000000" w:sz="2" w:space="0"/>
              <w:right w:val="nil"/>
            </w:tcBorders>
            <w:shd w:val="clear" w:color="auto" w:fill="auto"/>
            <w:noWrap/>
          </w:tcPr>
          <w:p>
            <w:pPr>
              <w:jc w:val="center"/>
              <w:rPr>
                <w:rFonts w:hint="default" w:ascii="Cambria" w:hAnsi="Cambria" w:eastAsia="Open Sans" w:cs="Cambria"/>
                <w:b/>
                <w:bCs/>
                <w:color w:val="000000"/>
                <w:sz w:val="18"/>
                <w:szCs w:val="18"/>
              </w:rPr>
            </w:pPr>
          </w:p>
        </w:tc>
        <w:tc>
          <w:tcPr>
            <w:tcW w:w="1500" w:type="dxa"/>
            <w:tcBorders>
              <w:top w:val="nil"/>
              <w:left w:val="nil"/>
              <w:bottom w:val="single" w:color="000000" w:sz="2" w:space="0"/>
              <w:right w:val="nil"/>
            </w:tcBorders>
            <w:shd w:val="clear" w:color="auto" w:fill="auto"/>
            <w:noWrap/>
          </w:tcPr>
          <w:p>
            <w:pPr>
              <w:jc w:val="center"/>
              <w:rPr>
                <w:rFonts w:hint="default" w:ascii="Cambria" w:hAnsi="Cambria" w:eastAsia="Open Sans" w:cs="Cambria"/>
                <w:b/>
                <w:bCs/>
                <w:color w:val="000000"/>
                <w:sz w:val="18"/>
                <w:szCs w:val="18"/>
              </w:rPr>
            </w:pP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rPr>
                <w:rFonts w:hint="default" w:ascii="Cambria" w:hAnsi="Cambria" w:eastAsia="Open Sans" w:cs="Cambria"/>
                <w:b/>
                <w:bCs/>
                <w:color w:val="000000"/>
                <w:sz w:val="18"/>
                <w:szCs w:val="18"/>
              </w:rPr>
            </w:pPr>
          </w:p>
        </w:tc>
      </w:tr>
      <w:tr>
        <w:tblPrEx>
          <w:tblCellMar>
            <w:top w:w="0" w:type="dxa"/>
            <w:left w:w="108" w:type="dxa"/>
            <w:bottom w:w="0" w:type="dxa"/>
            <w:right w:w="108" w:type="dxa"/>
          </w:tblCellMar>
        </w:tblPrEx>
        <w:trPr>
          <w:trHeight w:val="9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01</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PENUNJANG URUSAN PEMERINTAHAN DAERAH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Hasil evaluasi akuntabilitas kinerja instansi pemerintah daerah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BB</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6.517.318.000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61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Perencanaan, Penganggaran, dan Evaluasi Kinerja Perangkat Daerah</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capaian perencanaan, penganggaran, dan evaluasi kinerja perangkat daerah</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95.496.000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9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Penyusunan Dokumen Perencanaan Perangkat Daerah</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Renstra, RKT dan Renja selesai tepat waktu</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3 Dokumen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18.446.000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9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Penyusunan Dokumen RKA-SKPD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RKA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 Dokumen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11.500.000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9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Penyusunan Dokumen Perubahan RKA-SKPD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RKAP</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 Dokumen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11.500.000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66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Penyusunan DPA-SKPD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DPA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 Dokumen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5.750.000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8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Penyusunan Perubahan DPA-SKPD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DPAP</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 Dokumen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5.750.000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04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Penyusunan Laporan Capaian Kinerja dan Ikhtisar Realisasi Kinerja 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dokumen pelaporan kinerja (LAKIP, LKPJ, LPPD)</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3 Dokumen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17.250.000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71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Evaluasi Kinerja Perangkat Daerah</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dokumen SAKIP dan implementasi RB</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13 Dokumen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25.300.000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23"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Administrasi Keuangan Perangkat Daerah</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administrasi keuangan perangkat daerah</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4.324.825.000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85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Penyediaan Gaji dan Tunjangan ASN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Pembayaran gaji dan tunjangan ASN tepat waktu</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39 Orang</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4.295.825.000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8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Penyusunan Laporan Keuangan Akhir Tahun 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CALK</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 Laporan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15.000.000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08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Penyusunan Laporan Keuangan Bulanan/Triwulanan/Semesteran 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RFK</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12 laporan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7.000.000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86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Penyusunan Pelaporan dan Analisis Prognosis Realisasi Anggaran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laporan prognosis</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2 laporan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7.000.000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21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Administrasi Barang Milik Daerah pada Perangkat Daerah</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administrasi barang milik daerah pada perangkat daerah</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31.500.000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4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Penyusunan Perencanaan Kebutuhan Barang Milik Daerah 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Penyusunan Perencanaan Kebutuhan Barang Milik Daerah SKPD</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line="240" w:lineRule="auto"/>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45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Pembinaan, Pengawasan, dan Pengendalian Barang Milik Daerah pada 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Pembinaan, Pengawasan, dan Pengendalian Barang Milik Daerah pada SKPD</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7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Rekonsiliasi dan Penyusunan Laporan Barang Milik Daerah pada 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Rekonsiliasi dan Penyusunan Laporan Barang Milik Daerah pada SKPD</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6.500.000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04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Penatausahaan Barang Milik Daerah pada 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Penatausahaan Barang Milik Daerah pada SKPD</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3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Administrasi Kepegawaian Perangkat Daerah</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administrasi kepegawaian perangkat daerah</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215.000.000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5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Pengadaan Pakaian Dinas Beserta Atribut Kelengkapannya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Pengadaan Pakaian Dinas Beserta Atribut Kelengkapannya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1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Pendataan dan Pengolahan Administrasi Kepegawaian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Pendataan dan Pengolahan Administrasi Kepegawaian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7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Pendidikan dan Pelatihan Pegawai Berdasarkan Tugas dan Fungsi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Pendidikan dan Pelatihan Pegawai Berdasarkan Tugas dan Fungsi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80.000.000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7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Bimbingan Teknis Implementasi Peraturan Perundang-Undangan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Bimbingan Teknis Implementasi Peraturan Perundang-Undangan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80.000.000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7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Administrasi Umum Perangkat Daerah</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Persentase peningkatan administrasi umum perangkat daerah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590.335.000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20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Penyediaan Peralatan dan Perlengkapan Kantor</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penyediaan peralatan dan perlengkapan kantor</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75.000.000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4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Penyediaan Barang Cetakan dan Penggandaan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penyediaan  barang cetakan dan penggandaan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106.000.000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41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Penyediaan Bahan Bacaan dan Peraturan Perundang-undangan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Persentase peningkatan penyediaan bahan bacaan dan peraturan perundang-undangan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5.635.000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93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Fasilitasi Kunjungan Tamu</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fasilitasi kunjungan tamu</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34.500.000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7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Penyelenggaraan Rapat Koordinasi dan Konsultasi SKPD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penyelenggaraan rapat koordinasi dan konsultasi SKPD</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369.200.000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27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Pengadaan Barang Milik Daerah Penunjang Urusan Pemerintah Daerah</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Persentase peningkatan administrasi umum perangkat daerah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522.200.000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42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Pengadaan Kendaraan Perorangan Dinas atau Kendaraan Dinas Jabatan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Pengadaan Kendaraan Perorangan Dinas atau Kendaraan Dinas Jabatan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77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Pengadaan Mebel</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mebeleur yang disediakan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7 Unit</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250.000.000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75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Pengadaan Peralatan dan Mesin Lainnya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Jumlah peralatan yang disediakan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7 Unit</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95.000.000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77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Pengadaan Gedung Kantor atau Bangunan Lainnya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gedung dan halaman yang dibangun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2 Unit</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172.500.000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53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Pengadaan Sarana dan Prasarana Pendukung Gedung Kantor atau Bangunan Lainnya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pengadaan sarana dan prasarana pendukung gedung kantor atau bangunan lainnya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4.700.000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2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Penyediaan Jasa Penunjang Urusan Pemerintahan Daerah</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Persentase peningkatan administrasi umum perangkat daerah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612.562.000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9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Penyediaan Jasa Komunikasi, Sumber Daya Air dan Listrik</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Pelayanan administrasi perkantoran yang baik</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67.600.000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9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Penyediaan Jasa Pelayanan Umum Kantor</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pelayanan umum kantor</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544.962.000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68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Pemeliharaan Barang Milik Daerah Penunjang Urusan Pemerintahan Daerah</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Persentase peningkaatan pemeliharaan barang milik daerah penunjang urusan pemerintahan daerah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125.400.000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0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Penyediaan Jasa Pemeliharaan, Biaya Pemeliharaan dan Pajak Kendaraan Perorangan Dinas atau Kendaraan Dinas Jabatan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Penyediaan Jasa Pemeliharaan, Biaya Pemeliharaan dan Pajak Kendaraan Perorangan Dinas atau Kendaraan Dinas Jabatan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66.600.000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81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Penyediaan Jasa Pemeliharaan, Biaya Pemeliharaan, Pajak, dan Perizinan Kendaraan Dinas Operasional atau Lapangan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Penyediaan Jasa Pemeliharaan, Biaya Pemeliharaan, Pajak, dan Perizinan Kendaraan Dinas Operasional atau Lapangan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88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Pemeliharaan Peralatan dan Mesin Lainnya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Pemeliharaan Peralatan dan Mesin Lainnya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11.500.000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101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Pemeliharaan Aset Tetap Lainnya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Pemeliharaan Aset Tetap Lainnya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9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Pemeliharaan Aset Tak Berwujud</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Pesentase peningkatan Pemeliharaan Aset Tak Berwujud</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114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Pemeliharaan/Rehabilitasi Gedung Kantor dan Bangunan Lainnya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Pemeliharaan/Rehabilitasi Gedung Kantor dan Bangunan Lainnya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47.300.000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71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Pemeliharaan/Rehabilitasi Sarana dan Prasarana Pendukung Gedung Kantor atau Bangunan Lainnya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Pemeliharaan/Rehabilitasi Sarana dan Prasarana Pendukung Gedung Kantor atau Bangunan Lainnya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18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2</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17</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03</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PENGAWASAN DAN PEMERIKSAAN KOPERASI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pengawasan dan pemeriksaan koperasi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237.240.000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69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Pemeriksaan dan Pengawasan Koperasi, Koperasi Simpan Pinjam/Unit Simpan Pinjam Koperasi yang Wilayah Keanggotaannya dalam Daerah Kabupaten/ 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Tercapainya koperasi yang akuntabel</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237.240.000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94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Pengawasan Kekuatan, Kesehatan, Kemandirian, Ketangguhan, serta Akuntabilitas Koperasi Kewenangan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Koperasi yang berkualifikasi sehat</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90.240.000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56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Pemeriksaan Kepatuhan Koperasi terhadap Peraturan Perundang-Undangan Kewenangan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Meningkatnya kesadaran berkoperasi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147.000.000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8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2</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17</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06</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PEMBERDAYAAN DAN PERLINDUNGAN KOPERASI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pemberdayaan dan perlindungan koperasi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69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Pemberdayaan dan Perlindungan Koperasi yang Keanggotaannya dalam Daerah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Tercapainya peningkatan kualitas kelembagaan koperasi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3162"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Pemberdayaan Peningkatan Produktivitas, Nilai Tambah, Akses Pasar, Akses Pembiayaan, Penguatan Kelembagaan, Penataan Manajemen, Standarisasi, dan Restrukturisasi Usaha Koperasi Kewenangan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koperasi yang berkualifikasi sehat, kerjasama pemasaran produk andalan KUMKM, terwujudnya sinergitas dengan pemerintah dalam menjalankan fungsi Dekopinda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162 Koperasi</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8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2</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17</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04</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PENILAIAN KESEHATAN KSP/USP KOPERASI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penilaian kesehatan KSP/USP Koperasi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135.250.000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384"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Penilaian Kesehatan Koperasi Simpan Pinjam/Unit Simpan Pinjam Koperasi yang Wilayah Keanggotaanya dalam 1 (satu) Daerah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Terciptanya koperasi yang berprestasi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135.250.000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Pelaksanaan Penilaian Kesehatan KSP/USP Koperasi Kewenangan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koperasi yang berkualifikasi sehat</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135 Koperasi</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40.250.000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Penghargaan Kesehatan KSP/USP Koperasi Kewenangan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koperasi yang aktif</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135 Koperasi</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95.000.000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4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2</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17</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05</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PENDIDIKAN DAN LATIHAN PERKOPERASIAN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pendidikan dan latihan perkoperasian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89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Pendidikan dan Latihan Perkoperasian Bagi Koperasi yang Wilayah Keanggotaan dalam Daerah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Tercapainya peningkatan pemahaman dan pengetahuan perkoperasian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60 Koperasi</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038"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Peningkatan Pemahaman dan Pengetahuan Perkoperasian serta Kapasitas dan Kompetensi SDM Koperasi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koperasi yang ber RAT</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162 Koperasi</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42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2</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17</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02</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PELAYANAN IZIN USAHA SIMPAN PINJAM</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pelayanan izin usaha simpan pinjam</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b/>
                <w:bCs/>
                <w:color w:val="000000"/>
                <w:sz w:val="18"/>
                <w:szCs w:val="18"/>
              </w:rPr>
            </w:pPr>
          </w:p>
        </w:tc>
      </w:tr>
      <w:tr>
        <w:tblPrEx>
          <w:tblCellMar>
            <w:top w:w="0" w:type="dxa"/>
            <w:left w:w="108" w:type="dxa"/>
            <w:bottom w:w="0" w:type="dxa"/>
            <w:right w:w="108" w:type="dxa"/>
          </w:tblCellMar>
        </w:tblPrEx>
        <w:trPr>
          <w:trHeight w:val="2176"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Penerbitan Izin Usaha Simpan Pinjam untuk Koperasi dengan Wilayah Keanggotaan dalam Daerah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penerbitan izin usaha simpan pinjam untuk koperasi dengan wilayah keanggotaan dalam daerah Kabupaten/Kota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b/>
                <w:bCs/>
                <w:color w:val="000000"/>
                <w:sz w:val="18"/>
                <w:szCs w:val="18"/>
              </w:rPr>
            </w:pPr>
          </w:p>
        </w:tc>
      </w:tr>
      <w:tr>
        <w:tblPrEx>
          <w:tblCellMar>
            <w:top w:w="0" w:type="dxa"/>
            <w:left w:w="108" w:type="dxa"/>
            <w:bottom w:w="0" w:type="dxa"/>
            <w:right w:w="108" w:type="dxa"/>
          </w:tblCellMar>
        </w:tblPrEx>
        <w:trPr>
          <w:trHeight w:val="3064"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Fasilitasi Pemenuhan Izin Usaha Simpan Pinjam dan Pembukaan Kantor Cabang, Cabang Pembantu dan Kantor Kas Koperasi Simpan Pinjam untuk Koperasi dengan Wilayah Keanggotaan dalam Daerah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Fasilitasi Pemenuhan Izin Usaha Simpan Pinjam dan Pembukaan Kantor Cabang, Cabang Pembantu dan Kantor Kas Koperasi Simpan Pinjam untuk Koperasi dengan Wilayah Keanggotaan dalam Daerah Kabupaten/Kota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13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2</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17</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08</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PENGEMBANGAN UMKM</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pengembangan UMKM</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2.581.975.000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79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Pengembangan Usaha Mikro dengan Orientasi Peningkatan Skala Usaha Menjadi Usaha Kecil</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Pendapatan UMKM meningkat</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2.581.975.000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0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Fasilitasi Usaha Mikro Menjadi Usaha Kecil dalam Pengembangan Produksi dan Pengolahan, Pemasaran, SDM, serta Desain dan Teknologi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Jumlah peralatan yang disediakan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37 Unit</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2.581.975.000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84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2</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17</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07</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PEMBERDAYAAN USAHA MENENGAH, USAHA KECIL, DAN USAHA MIKRO (UMKM)</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pemberdayaan usaha menengah,usaha kecil dan usaha mikro (UMKM)</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1.684.760.000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964"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Pemberdayaan Usaha Mikro yang Dilakukan melalui Pendataan, Kemitraan, Kemudahan Perizinan, Penguatan Kelembagaan dan Koordinasi dengan Para Pemangku Kepentingan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Pendapatan UMKM meningkat</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1.684.760.000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63"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Pendataan Potensi dan Pengembangan Usaha Mikro</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UMKM yang akurat</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3.033 UMKM</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152.260.000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66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Pemberdayaan melalui Kemitraan Usaha Mikro</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UMKM yang diberdayakan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11 UMKM</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900.000.000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4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Fasilitasi Kemudahan Perizinan Usaha Mikro</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Fasilitasi Kemudahan Perizinan Usaha Mikro</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126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Pemberdayaan Kelembagaan Potensi dan Pengembangan Usaha Mikro</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sentra yang dikembangkan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 Sentra</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400.000.000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616"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Sinkronisasi dengan Para Pemangku Kepentingan dalam Pemberdayaan Usaha Mikro</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pelaku UMKM yang ikut pelatihan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150 Orang</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232.500.000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43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30</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02</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PERIZINAN DAN PENDAFTARAN PERUSAHAAN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perizinan dan pendaftaran perusahaan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200.000.000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18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Penerbitan Izin Pengelolaan Pasar Rakyat, Pusat Perbelanjaan, dan Izin Usaha Toko Swalayan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Penerbitan Izin Pengelolaan Pasar Rakyat, Pusat Perbelanjaan, dan Izin Usaha Toko Swalayan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279"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Fasilitasi Pemenuhan Komitmen Perolehan Perizinan Pasar Rakyat, Pusat Perbelanjaan, dan Toko Swalayan melalui Sistem Pelayanan Perizinan Berusaha Terintegrasi Secara Elektronik</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penerbitan surat rekomendasi perizinan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09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Penerbitan Tanda Daftar Gudang</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Penerbitan Tanda Daftar Gudang</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b/>
                <w:bCs/>
                <w:color w:val="000000"/>
                <w:sz w:val="18"/>
                <w:szCs w:val="18"/>
              </w:rPr>
            </w:pPr>
          </w:p>
        </w:tc>
      </w:tr>
      <w:tr>
        <w:tblPrEx>
          <w:tblCellMar>
            <w:top w:w="0" w:type="dxa"/>
            <w:left w:w="108" w:type="dxa"/>
            <w:bottom w:w="0" w:type="dxa"/>
            <w:right w:w="108" w:type="dxa"/>
          </w:tblCellMar>
        </w:tblPrEx>
        <w:trPr>
          <w:trHeight w:val="103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Fasilitasi Penerbitan Tanda Daftar Gudang</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Fasilitasi Penerbitan Tanda Daftar Gudang</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2274"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Penerbitan Surat Tanda Pendaftaran Waralaba (STPW) untuk Penerima Waralaba dari Waralaba Dalam Negeri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Penerbitan Surat Tanda Pendaftaran Waralaba (STPW) untuk Penerima Waralaba dari Waralaba Dalam Negeri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b/>
                <w:bCs/>
                <w:color w:val="000000"/>
                <w:sz w:val="18"/>
                <w:szCs w:val="18"/>
              </w:rPr>
            </w:pPr>
          </w:p>
        </w:tc>
      </w:tr>
      <w:tr>
        <w:tblPrEx>
          <w:tblCellMar>
            <w:top w:w="0" w:type="dxa"/>
            <w:left w:w="108" w:type="dxa"/>
            <w:bottom w:w="0" w:type="dxa"/>
            <w:right w:w="108" w:type="dxa"/>
          </w:tblCellMar>
        </w:tblPrEx>
        <w:trPr>
          <w:trHeight w:val="179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Fasilitasi Perizinan Surat Tanda Pendaftaran dan/atau Lanjutan Waralaba (STPW) Dalam Negeri Terintegrasi secara Elektronik</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Fasilitasi Perizinan Surat Tanda Pendaftaran dan/atau Lanjutan Waralaba (STPW) Dalam Negeri Terintegrasi secara Elektronik</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18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Fasilitasi Pemenuhan Komitmen Perolehan Surat Tanda Pendaftaran dan/atau Lanjutan Waralaba (STPW) Dalam Negeri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Fasilitasi Pemenuhan Komitmen Perolehan Surat Tanda Pendaftaran dan/atau Lanjutan Waralaba (STPW) Dalam Negeri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271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Pengendalian Fasilitas Penyimpanan Bahan Berbahaya dan Pengawasan Distribusi, Pengemasan dan Pelabelan Bahan Berbahaya di Tingkat Daerah Kabupaten/ 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Pengendalian Fasilitas Penyimpanan Bahan Berbahaya dan Pengawasan Distribusi, Pengemasan dan Pelabelan Bahan Berbahaya di Tingkat Daerah Kabupaten/ Kota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b/>
                <w:bCs/>
                <w:color w:val="000000"/>
                <w:sz w:val="18"/>
                <w:szCs w:val="18"/>
              </w:rPr>
            </w:pPr>
          </w:p>
        </w:tc>
      </w:tr>
      <w:tr>
        <w:tblPrEx>
          <w:tblCellMar>
            <w:top w:w="0" w:type="dxa"/>
            <w:left w:w="108" w:type="dxa"/>
            <w:bottom w:w="0" w:type="dxa"/>
            <w:right w:w="108" w:type="dxa"/>
          </w:tblCellMar>
        </w:tblPrEx>
        <w:trPr>
          <w:trHeight w:val="134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Pemeriksaan Penyimpanan Bahan Berbahaya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Pemeriksaan Penyimpanan Bahan Berbahaya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2641"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Penerbitan Surat Keterangan Asal (Bagi Daerah Kabupaten/Kota yang Telah Ditetapkan sebagai Instansi Penerbit Surat Keterangan Asal)</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Penerbitan Surat Keterangan Asal (Bagi Daerah Kabupaten/Kota yang Telah Ditetapkan sebagai Instansi Penerbit Surat Keterangan Asal)</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26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Sinkronisasi Layanan Penerbitan SKA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Koordinasi dan Sinkronisasi Layanan Penerbitan SKA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09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30</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03</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PENINGKATAN SARANA DISTRIBUSI PERDAGANGAN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Sarana Distribusi Perdagangan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800.000.000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89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Pembangunan dan Pengelolaan Sarana Distribusi Perdagangan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Peningkatan distribusi barang/jasa dan memfasilitasi pembentukan forum komunikasi antar pelaku usaha dan buyer</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700.000.000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50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Penyediaan Sarana Distribusi Perdagangan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Perencanaan Pembangunan Pasar dan Penyusunan Zona Kawasan Distribusi Logistik</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 Persen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99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Fasilitasi Pengelolaan Sarana Distribusi Perdagangan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Sarana Distribusi Perdagangan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 Persen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0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Pembinaan Terhadap Pengelola Sarana Distribusi Perdagangan Masyarakat di Wilayah Kerjanya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Tata kelola sarana distribusi perdagangan semakin baik</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90%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56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Pembinaan dan Pengendalian Pengelola Sarana Distribusi Perdagangan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Pembinaan dan Pengendalian Pengelola Sarana Distribusi Perdagangan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 Persen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3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Pemberdayaan Pengelola Sarana Distribusi Perdagangan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Pemberdayaan Pengelola Sarana Distribusi Perdagangan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 Persen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13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30</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04</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STABILISASI HARGA BARANG KEBUTUHAN POKOK DAN BARANG PENTING</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pengendalian harga dan stok barang kebutuhan pokok dan barang penting di tingkat pasar Kabupaten/Kota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450.000.000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91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Menjamin Ketersediaan Barang Kebutuhan Pokok dan Barang Penting di Tingkat Daerah Kabupaten/ 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aksebilitas barang kebutuhan pokok dan barang penting di tingkat agen dan pasar rakyat</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97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Sinkronisasi Ketersediaan Barang Kebutuhan Pokok dan Barang Penting di Tingkat Agen dan Pasar Rakyat</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Terlaksanya Koordinasi dan Sinkronisasi Ketersediaan Barang Kebutuhan Pokok dan Barang Penting di Tingkat Agen dan Pasar Rakyat</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235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Sinkronisasi Peningkatan Aksesibilitas Barang Kebutuhan Pokok dan Barang Penting di Tingkat Agen dan Pasar Rakyat</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Terlaksananya koordinasi dan sinkronisasi peningkatan aksebilitas barang kebutuhan pokok dan barang penting di tingkat agen dan pasar rakyat</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24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Pengendalian Ketersediaan Barang Kebutuhan Pokok dan Barang Penting di Tingkat Agen dan Pasar Rakyat</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Pengendalian Ketersediaan Barang Kebutuhan Pokok dan Barang Penting di Tingkat Agen dan Pasar Rakyat</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226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Pengendalian Harga, dan Stok Barang Kebutuhan Pokok dan Barang Penting di Tingkat Pasar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stabilitas, ketersediaan data harga dan stok barang kebutuhan pokok dan barang penting yang dapat diakses setiap waktu</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350.000.000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96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Pemantauan Harga dan Stok Barang Kebutuhan Pokok dan Barang Penting pada Pelaku Usaha Distribusi Barang dalam 1 (satu)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Terlaksananya pengendalian harga harga dan stok barang kebutuhan pokok dan barang penting</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18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Pemantauan Harga dan Stok Barang Kebutuhan Pokok dan Barang Penting pada Pasar Rakyat yang Terintegrasi dalam Sistem Informasi Perdagangan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barang yang dipantau dan terintegrasi dalam sistem informasi perdagangan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1800            Jenis barang</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76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Pelaksanaan Operasi Pasar Reguler dan Pasar Khusus yang Berdampak dalam 1 (satu)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Pelaksanaan Operasi Pasar Reguler dan Pasar Khusus yang Berdampak dalam 1 (satu) Kabupaten/Kota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4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Pengawasan Pupuk dan Pestisida Bersubsidi di Tingkat Daerah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Kelengkapan rekomendasi perizinan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b/>
                <w:bCs/>
                <w:color w:val="000000"/>
                <w:sz w:val="18"/>
                <w:szCs w:val="18"/>
              </w:rPr>
            </w:pPr>
          </w:p>
        </w:tc>
      </w:tr>
      <w:tr>
        <w:tblPrEx>
          <w:tblCellMar>
            <w:top w:w="0" w:type="dxa"/>
            <w:left w:w="108" w:type="dxa"/>
            <w:bottom w:w="0" w:type="dxa"/>
            <w:right w:w="108" w:type="dxa"/>
          </w:tblCellMar>
        </w:tblPrEx>
        <w:trPr>
          <w:trHeight w:val="11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Pemeriksaan Kelengkapan Legalitas Dokumen Perizinan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rekomendasi izin usaha yang diterbitkan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150 Pedagang</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156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Pengawasan Pengadaan Pupuk dan Pestisida Bersubsidi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Pengawasan Pengadaan Pupuk dan Pestisida Bersubsidi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20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Pengawasan Penyaluran dan Penggunaan Pupuk dan Pestisida Bersubsidi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Pengawasan Penyaluran dan Penggunaan Pupuk dan Pestisida Bersubsidi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20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31</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03</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PENGENDALIAN IZIN USAHA INDUSTRI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pengendalian izin usaha industri Kabupaten/Kota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180.000.000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81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Penerbitan Izin Usaha Industri (IUI), Izin Perluasan Usaha Industri (IPUI), Izin Usaha Kawasan Industri (IUKI) dan Izin Perluasan Kawasan Industri (IPKI) Kewenangan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Nilai omset meningkat</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180.000.000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346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Fasilitasi Pemenuhan Komitmen perolehan IUI, IPUI, IUKI dan IPKI Kewenangan Kabupaten/Kota dalam Sistem Informasi Industri Nasional (SIINas) yang Terintegrasi dengan Sistem Pelayanan Perizinan Berusaha Terintegrasi secara Elektronik</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Persentase peningkatan nilai omset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1120" w:hRule="atLeast"/>
        </w:trPr>
        <w:tc>
          <w:tcPr>
            <w:tcW w:w="390" w:type="dxa"/>
            <w:tcBorders>
              <w:top w:val="single" w:color="000000" w:sz="2" w:space="0"/>
              <w:left w:val="double" w:color="000000" w:sz="4" w:space="0"/>
              <w:bottom w:val="nil"/>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nil"/>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vMerge w:val="restart"/>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dan Sinkronisasi Pengawasan Perizinan di Bidang Industri Dalam Lingkup IUI, IPUI, IUKI dan IPKI Kewenangan Kabupaten/ Kota</w:t>
            </w:r>
          </w:p>
        </w:tc>
        <w:tc>
          <w:tcPr>
            <w:tcW w:w="2145"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dan kunker ke Dinas Perindustrian Takalar/ Jeneponto</w:t>
            </w:r>
          </w:p>
        </w:tc>
        <w:tc>
          <w:tcPr>
            <w:tcW w:w="870" w:type="dxa"/>
            <w:vMerge w:val="restart"/>
            <w:tcBorders>
              <w:top w:val="single" w:color="000000" w:sz="2" w:space="0"/>
              <w:left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lang w:eastAsia="zh-CN" w:bidi="ar"/>
              </w:rPr>
            </w:pPr>
            <w:r>
              <w:rPr>
                <w:rFonts w:hint="default" w:ascii="Cambria" w:hAnsi="Cambria" w:eastAsia="Open Sans" w:cs="Cambria"/>
                <w:color w:val="000000"/>
                <w:sz w:val="18"/>
                <w:szCs w:val="18"/>
                <w:lang w:eastAsia="zh-CN" w:bidi="ar"/>
              </w:rPr>
              <w:t>Kab. Kep. Selayar</w:t>
            </w:r>
          </w:p>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p>
        </w:tc>
        <w:tc>
          <w:tcPr>
            <w:tcW w:w="750"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 Persen</w:t>
            </w:r>
          </w:p>
        </w:tc>
        <w:tc>
          <w:tcPr>
            <w:tcW w:w="1500" w:type="dxa"/>
            <w:vMerge w:val="restart"/>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180.000.000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660" w:hRule="atLeast"/>
        </w:trPr>
        <w:tc>
          <w:tcPr>
            <w:tcW w:w="390" w:type="dxa"/>
            <w:tcBorders>
              <w:top w:val="nil"/>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nil"/>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nil"/>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vMerge w:val="continue"/>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c>
          <w:tcPr>
            <w:tcW w:w="2145" w:type="dxa"/>
            <w:tcBorders>
              <w:top w:val="nil"/>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pelatihan pembuatan gerabah</w:t>
            </w:r>
          </w:p>
        </w:tc>
        <w:tc>
          <w:tcPr>
            <w:tcW w:w="870" w:type="dxa"/>
            <w:vMerge w:val="continue"/>
            <w:tcBorders>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p>
        </w:tc>
        <w:tc>
          <w:tcPr>
            <w:tcW w:w="750" w:type="dxa"/>
            <w:tcBorders>
              <w:top w:val="nil"/>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50 Orang</w:t>
            </w:r>
          </w:p>
        </w:tc>
        <w:tc>
          <w:tcPr>
            <w:tcW w:w="1500" w:type="dxa"/>
            <w:vMerge w:val="continue"/>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rPr>
                <w:rFonts w:hint="default" w:ascii="Cambria" w:hAnsi="Cambria" w:eastAsia="Open Sans" w:cs="Cambria"/>
                <w:color w:val="000000"/>
                <w:sz w:val="18"/>
                <w:szCs w:val="18"/>
              </w:rPr>
            </w:pP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66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30</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05</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PENGEMBANGAN EKSPOR</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ekspor</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400.000.000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47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Penyelenggaraan Promosi Dagang melalui Pameran Dagang dan Misi Dagang bagi Produk Ekspor Unggulan yang terdapat pada 1 (satu) Daerah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Pengembangan dan peningkatan barang/jasa atau komoditi unggulan daerah serta perluasan pasar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400.000.000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9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Pembinaan dan Pengembangan Usaha Produk Ekspor Unggulan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Usaha Produk Ekspor Unggulan Kabupaten/Kota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 Persen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843"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Pameran Dagang Nasional</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Pameran Dagang Nasional</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 kali</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828"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Pameran Dagang Lokal</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Pameran Dagang Lokal</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 Kali</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6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Misi Dagang Bagi Produk Ekspor Unggulan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Peningkatan transaksi anatara pelaku usaha dengan pembeli (buyer)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858"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Peningkatan Citra Produk Ekspor</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Peningkatan Citra Produk Ekspor</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11 Kecamatan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95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Pembinaan Pelaku Usaha Ekspor</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SDM Pelaku Usaha Ekspor</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 Persen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2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30</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07</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PENGGUNAAN DAN PEMASARAN PRODUK DALAM NEGERI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penggunaan dan pemasaran produk dalam negeri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200.000.000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02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Pelaksanaan Promosi, Pemasaran dan Peningkatan Penggunaan Produk Dalam Negeri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Peningkatan/pengembangan sistem distribusi barang/produk menjadi pusat perdagangan antar pulau</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200.000.000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49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Pelaksanaan Promosi Penggunaan Produk Dalam Negeri di Tingkat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Pelaksanaan Promosi Penggunaan Produk Dalam Negeri di Tingkat Kabupaten/Kota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88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Pemasaran dan Peningkatan Penggunaan Produk Dalam Negeri di Tingkat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Persentase Peningkatan Pemasaran dan Peningkatan Penggunaan Produk Dalam Negeri di Tingkat Kabupaten/Kota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815"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Peningkatan Sistem dan Jaringan Informasi Perdagangan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Terupdatenya sistem informasi kebutuhan barang/produk melalui sistem jaringan informasi perdagangan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54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30</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06</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STANDARDISASI DAN PERLINDUNGAN KONSUMEN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standarisasi dan perlindungan konsumen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420.000.000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413"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Pelaksanaan Metrologi Legal, Berupa Tera, Tera Ulang, dan Pengawasan</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Alat UTTP bertanda tera SAH yang berlaku</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420.000.000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9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Pelaksanaan Metrologi Legal, Berupa Tera, Tera Ulang</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Pengendalian Alat UTTP</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650 Alat</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180.000.000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98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Pengawasan/Penyuluhan Metrologi Legal</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Alat UTTP yang layak pakai dan BDKT yang baik</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12 laporan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210.000.000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888"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Penyidikan Metrologi Legal</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Alat standar yang tertelusur </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30.000.000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8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31</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04</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PENGELOLAAN SISTEM INFORMASI INDUSTRI NASIONAL</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pengelolaan sistem informasi industri nasional</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890.000.000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0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Penyediaan Informasi Industri untuk Informasi Industri untuk IUI, IPUI, IUKI dan IPKI Kewenangan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Produk unggulan yang mampu bersaing di pasar global</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890.000.000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9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Fasilitasi Pengumpulan, Pengolahan dan Analisis Data Industri, Data Kawasan Industri serta Data Lain Lingkup Kabupaten/Kota melalui Sistem Informasi Industri Nasional (SIINas)</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Monitoring dan Evaluasi Sentra IKM</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11 Sentra</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120" w:hRule="atLeast"/>
        </w:trPr>
        <w:tc>
          <w:tcPr>
            <w:tcW w:w="390" w:type="dxa"/>
            <w:tcBorders>
              <w:top w:val="single" w:color="000000" w:sz="2" w:space="0"/>
              <w:left w:val="double" w:color="000000" w:sz="4" w:space="0"/>
              <w:bottom w:val="nil"/>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nil"/>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nil"/>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vMerge w:val="restart"/>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Diseminasi, Publikasi Data Informasi dan Analisa Industri Kabupaten/Kota melalui SIINas</w:t>
            </w:r>
          </w:p>
        </w:tc>
        <w:tc>
          <w:tcPr>
            <w:tcW w:w="2145"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kunjungan kerja ke Dinas Perindustrian Takalar/ Jeneponto</w:t>
            </w:r>
          </w:p>
        </w:tc>
        <w:tc>
          <w:tcPr>
            <w:tcW w:w="870"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100 persen</w:t>
            </w:r>
          </w:p>
        </w:tc>
        <w:tc>
          <w:tcPr>
            <w:tcW w:w="1500" w:type="dxa"/>
            <w:vMerge w:val="restart"/>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340.000.000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40" w:hRule="atLeast"/>
        </w:trPr>
        <w:tc>
          <w:tcPr>
            <w:tcW w:w="390" w:type="dxa"/>
            <w:tcBorders>
              <w:top w:val="nil"/>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nil"/>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nil"/>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vMerge w:val="continue"/>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c>
          <w:tcPr>
            <w:tcW w:w="2145" w:type="dxa"/>
            <w:tcBorders>
              <w:top w:val="nil"/>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pembangunan rumah kreatif Dekranasde di Kab. Kep. Selayar</w:t>
            </w:r>
          </w:p>
        </w:tc>
        <w:tc>
          <w:tcPr>
            <w:tcW w:w="870" w:type="dxa"/>
            <w:tcBorders>
              <w:top w:val="nil"/>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nil"/>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 Kabupaten</w:t>
            </w:r>
          </w:p>
        </w:tc>
        <w:tc>
          <w:tcPr>
            <w:tcW w:w="1500" w:type="dxa"/>
            <w:vMerge w:val="continue"/>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rPr>
                <w:rFonts w:hint="default" w:ascii="Cambria" w:hAnsi="Cambria" w:eastAsia="Open Sans" w:cs="Cambria"/>
                <w:color w:val="000000"/>
                <w:sz w:val="18"/>
                <w:szCs w:val="18"/>
              </w:rPr>
            </w:pP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264"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Pemantauan dan Evaluasi Kepatuhan Perusahaan Industri dan Perusahaan Kawasan Industri Lingkup Kabupaten/Kota dalam Penyampaian Data ke SIINas</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Jumlah pelaku IKM yang evaluasi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50%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rPr>
                <w:rFonts w:hint="default" w:ascii="Cambria" w:hAnsi="Cambria" w:eastAsia="Open Sans" w:cs="Cambria"/>
                <w:color w:val="000000"/>
                <w:sz w:val="18"/>
                <w:szCs w:val="18"/>
              </w:rPr>
            </w:pPr>
          </w:p>
        </w:tc>
      </w:tr>
      <w:tr>
        <w:tblPrEx>
          <w:tblCellMar>
            <w:top w:w="0" w:type="dxa"/>
            <w:left w:w="108" w:type="dxa"/>
            <w:bottom w:w="0" w:type="dxa"/>
            <w:right w:w="108" w:type="dxa"/>
          </w:tblCellMar>
        </w:tblPrEx>
        <w:trPr>
          <w:trHeight w:val="14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w:t>
            </w: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31</w:t>
            </w: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02</w:t>
            </w: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PROGRAM PERENCANAAN DAN PEMBANGUNAN INDUSTRI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Persentase peningkatan perencanaan dan pembangunan industri</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8.000.000.000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30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Penyusunan dan Evaluasi Rencana Pembangunan Industri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Produk unggulan yang mampu bersaing di pasar global</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100%</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 xml:space="preserve"> 8.000.000.000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95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Penyusunan Rencana Pembangunan Industri Kabupaten/Kota</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Pembentukan Sentra IKM</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12 Sentra</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1.580.000.000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202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Sinkronisasi, dan Pelaksanaan Kebijakan Percepatan Pengembangan, Penyebaran dan Perwilayahan Industri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Pendampingan Sentra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11 Sentra</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56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Sinkronisasi, dan pelaksanaan Pembangunan Sumber Daya Industri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Pelatihan Pengolahan Industri dan Pemantauan Hasil Pelaksanaan Pelatihan</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16 Kali</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1.295.000.000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47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Sinkronisasi, dan Pelaksanaan Pembangunan Sarana dan Prasarana Industri</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Bantuan Pengadaan Peralatan Sentra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11 Kecamatan</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2.650.000.000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650" w:hRule="atLeast"/>
        </w:trPr>
        <w:tc>
          <w:tcPr>
            <w:tcW w:w="390" w:type="dxa"/>
            <w:tcBorders>
              <w:top w:val="single" w:color="000000" w:sz="2" w:space="0"/>
              <w:left w:val="double" w:color="000000" w:sz="4"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single" w:color="000000" w:sz="2" w:space="0"/>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Koordinasi, Sinkronisasi, dan Pelaksanaan Pemberdayaan Industri dan Peran Serta Masyarakat</w:t>
            </w:r>
          </w:p>
        </w:tc>
        <w:tc>
          <w:tcPr>
            <w:tcW w:w="214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studi kawasan IKM kerajinan dan kajian ekonomi pembangunan distribusi logistik teluk bone</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2 IKM</w:t>
            </w:r>
          </w:p>
        </w:tc>
        <w:tc>
          <w:tcPr>
            <w:tcW w:w="1500"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1.350.000.000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1515" w:hRule="atLeast"/>
        </w:trPr>
        <w:tc>
          <w:tcPr>
            <w:tcW w:w="390" w:type="dxa"/>
            <w:tcBorders>
              <w:top w:val="single" w:color="000000" w:sz="2" w:space="0"/>
              <w:left w:val="double" w:color="000000" w:sz="4" w:space="0"/>
              <w:bottom w:val="nil"/>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05" w:type="dxa"/>
            <w:tcBorders>
              <w:top w:val="single" w:color="000000" w:sz="2" w:space="0"/>
              <w:left w:val="single" w:color="000000" w:sz="2" w:space="0"/>
              <w:bottom w:val="nil"/>
              <w:right w:val="single" w:color="000000" w:sz="2" w:space="0"/>
            </w:tcBorders>
            <w:shd w:val="clear" w:color="auto" w:fill="auto"/>
            <w:noWrap/>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450"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rPr>
                <w:rFonts w:hint="default" w:ascii="Cambria" w:hAnsi="Cambria" w:eastAsia="Open Sans" w:cs="Cambria"/>
                <w:b/>
                <w:bCs/>
                <w:color w:val="000000"/>
                <w:sz w:val="18"/>
                <w:szCs w:val="18"/>
              </w:rPr>
            </w:pPr>
          </w:p>
        </w:tc>
        <w:tc>
          <w:tcPr>
            <w:tcW w:w="2041"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Evaluasi terhadap Pelaksanaan Rencana Pembangunan Industri</w:t>
            </w:r>
          </w:p>
        </w:tc>
        <w:tc>
          <w:tcPr>
            <w:tcW w:w="2145"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pameran Indsutri kreatif, deskranasda, hari jadi sulses dan pameran industri</w:t>
            </w:r>
          </w:p>
        </w:tc>
        <w:tc>
          <w:tcPr>
            <w:tcW w:w="870"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Kab. Kep. Selayar</w:t>
            </w:r>
          </w:p>
        </w:tc>
        <w:tc>
          <w:tcPr>
            <w:tcW w:w="750"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4 Kali</w:t>
            </w:r>
          </w:p>
        </w:tc>
        <w:tc>
          <w:tcPr>
            <w:tcW w:w="1500" w:type="dxa"/>
            <w:tcBorders>
              <w:top w:val="single" w:color="000000" w:sz="2" w:space="0"/>
              <w:left w:val="single" w:color="000000" w:sz="2" w:space="0"/>
              <w:bottom w:val="nil"/>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right"/>
              <w:textAlignment w:val="center"/>
              <w:rPr>
                <w:rFonts w:hint="default" w:ascii="Cambria" w:hAnsi="Cambria" w:eastAsia="Open Sans" w:cs="Cambria"/>
                <w:color w:val="000000"/>
                <w:sz w:val="18"/>
                <w:szCs w:val="18"/>
              </w:rPr>
            </w:pPr>
            <w:r>
              <w:rPr>
                <w:rFonts w:hint="default" w:ascii="Cambria" w:hAnsi="Cambria" w:eastAsia="Open Sans" w:cs="Cambria"/>
                <w:color w:val="000000"/>
                <w:sz w:val="18"/>
                <w:szCs w:val="18"/>
                <w:lang w:eastAsia="zh-CN" w:bidi="ar"/>
              </w:rPr>
              <w:t xml:space="preserve"> 575.000.000 </w:t>
            </w:r>
          </w:p>
        </w:tc>
        <w:tc>
          <w:tcPr>
            <w:tcW w:w="765" w:type="dxa"/>
            <w:tcBorders>
              <w:top w:val="single" w:color="000000" w:sz="2" w:space="0"/>
              <w:left w:val="single" w:color="000000" w:sz="2" w:space="0"/>
              <w:bottom w:val="single" w:color="000000" w:sz="2" w:space="0"/>
              <w:right w:val="single" w:color="000000" w:sz="2"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APBD</w:t>
            </w:r>
          </w:p>
        </w:tc>
      </w:tr>
      <w:tr>
        <w:tblPrEx>
          <w:tblCellMar>
            <w:top w:w="0" w:type="dxa"/>
            <w:left w:w="108" w:type="dxa"/>
            <w:bottom w:w="0" w:type="dxa"/>
            <w:right w:w="108" w:type="dxa"/>
          </w:tblCellMar>
        </w:tblPrEx>
        <w:trPr>
          <w:trHeight w:val="485" w:hRule="atLeast"/>
        </w:trPr>
        <w:tc>
          <w:tcPr>
            <w:tcW w:w="7051" w:type="dxa"/>
            <w:gridSpan w:val="7"/>
            <w:tcBorders>
              <w:top w:val="double" w:color="000000" w:sz="4" w:space="0"/>
              <w:left w:val="double" w:color="000000" w:sz="4" w:space="0"/>
              <w:bottom w:val="double" w:color="000000" w:sz="4" w:space="0"/>
              <w:right w:val="single" w:color="000000" w:sz="2"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after="0"/>
              <w:jc w:val="center"/>
              <w:textAlignment w:val="center"/>
              <w:rPr>
                <w:rFonts w:hint="default" w:ascii="Cambria" w:hAnsi="Cambria" w:eastAsia="Open Sans" w:cs="Cambria"/>
                <w:b/>
                <w:bCs/>
                <w:color w:val="000000"/>
                <w:sz w:val="18"/>
                <w:szCs w:val="18"/>
              </w:rPr>
            </w:pPr>
            <w:r>
              <w:rPr>
                <w:rFonts w:hint="default" w:ascii="Cambria" w:hAnsi="Cambria" w:eastAsia="Open Sans" w:cs="Cambria"/>
                <w:b/>
                <w:bCs/>
                <w:color w:val="000000"/>
                <w:sz w:val="18"/>
                <w:szCs w:val="18"/>
                <w:lang w:eastAsia="zh-CN" w:bidi="ar"/>
              </w:rPr>
              <w:t>TOTAL PAGU</w:t>
            </w:r>
          </w:p>
        </w:tc>
        <w:tc>
          <w:tcPr>
            <w:tcW w:w="2265" w:type="dxa"/>
            <w:gridSpan w:val="2"/>
            <w:tcBorders>
              <w:top w:val="double" w:color="000000" w:sz="4" w:space="0"/>
              <w:left w:val="single" w:color="000000" w:sz="2" w:space="0"/>
              <w:bottom w:val="double" w:color="000000" w:sz="4" w:space="0"/>
              <w:right w:val="nil"/>
            </w:tcBorders>
            <w:shd w:val="clear" w:color="auto" w:fill="auto"/>
            <w:noWrap/>
            <w:vAlign w:val="bottom"/>
          </w:tcPr>
          <w:p>
            <w:pPr>
              <w:keepNext w:val="0"/>
              <w:keepLines w:val="0"/>
              <w:pageBreakBefore w:val="0"/>
              <w:widowControl/>
              <w:kinsoku/>
              <w:wordWrap/>
              <w:overflowPunct/>
              <w:topLinePunct w:val="0"/>
              <w:autoSpaceDE/>
              <w:autoSpaceDN/>
              <w:bidi w:val="0"/>
              <w:adjustRightInd/>
              <w:snapToGrid/>
              <w:spacing w:after="0"/>
              <w:jc w:val="center"/>
              <w:textAlignment w:val="auto"/>
              <w:rPr>
                <w:rFonts w:hint="default" w:ascii="Cambria" w:hAnsi="Cambria" w:eastAsia="Open Sans" w:cs="Cambria"/>
                <w:b/>
                <w:bCs/>
                <w:color w:val="000000"/>
                <w:sz w:val="18"/>
                <w:szCs w:val="18"/>
              </w:rPr>
            </w:pPr>
            <w:r>
              <w:rPr>
                <w:rFonts w:hint="default" w:ascii="Cambria" w:hAnsi="Cambria" w:eastAsia="Open Sans" w:cs="Cambria"/>
                <w:b/>
                <w:bCs/>
                <w:color w:val="000000"/>
                <w:sz w:val="16"/>
                <w:szCs w:val="16"/>
                <w:lang w:eastAsia="zh-CN" w:bidi="ar"/>
              </w:rPr>
              <w:t>22.996.543.000</w:t>
            </w:r>
          </w:p>
        </w:tc>
      </w:tr>
    </w:tbl>
    <w:p>
      <w:pPr>
        <w:rPr>
          <w:rFonts w:hint="default" w:ascii="Cambria" w:hAnsi="Cambria" w:cs="Cambria"/>
          <w:sz w:val="24"/>
          <w:szCs w:val="24"/>
          <w:lang w:val="fi-FI"/>
        </w:rPr>
      </w:pPr>
      <w:r>
        <w:rPr>
          <w:rFonts w:hint="default" w:ascii="Cambria" w:hAnsi="Cambria" w:cs="Cambria"/>
          <w:sz w:val="24"/>
          <w:szCs w:val="24"/>
          <w:lang w:val="fi-FI"/>
        </w:rPr>
        <w:br w:type="page"/>
      </w:r>
    </w:p>
    <w:p>
      <w:pPr>
        <w:pStyle w:val="13"/>
        <w:numPr>
          <w:ilvl w:val="3"/>
          <w:numId w:val="23"/>
        </w:numPr>
        <w:spacing w:after="0" w:line="360" w:lineRule="auto"/>
        <w:ind w:left="426" w:hanging="426"/>
        <w:rPr>
          <w:rFonts w:hint="default" w:ascii="Cambria" w:hAnsi="Cambria" w:cs="Cambria"/>
          <w:b/>
          <w:sz w:val="24"/>
          <w:szCs w:val="24"/>
        </w:rPr>
      </w:pPr>
      <w:r>
        <w:rPr>
          <w:rFonts w:hint="default" w:ascii="Cambria" w:hAnsi="Cambria" w:cs="Cambria"/>
          <w:b/>
          <w:sz w:val="24"/>
          <w:szCs w:val="24"/>
        </w:rPr>
        <w:t>PERJANJIAN KINERJA</w:t>
      </w:r>
    </w:p>
    <w:p>
      <w:pPr>
        <w:pStyle w:val="13"/>
        <w:spacing w:after="0" w:line="360" w:lineRule="auto"/>
        <w:ind w:left="426" w:firstLine="992"/>
        <w:jc w:val="both"/>
        <w:rPr>
          <w:rFonts w:hint="default" w:ascii="Cambria" w:hAnsi="Cambria" w:cs="Cambria"/>
          <w:sz w:val="24"/>
          <w:szCs w:val="24"/>
          <w:lang w:val="fi-FI"/>
        </w:rPr>
      </w:pPr>
      <w:r>
        <w:rPr>
          <w:rFonts w:hint="default" w:ascii="Cambria" w:hAnsi="Cambria" w:cs="Cambria"/>
          <w:sz w:val="24"/>
          <w:szCs w:val="24"/>
          <w:lang w:val="fi-FI"/>
        </w:rPr>
        <w:t>Perjanjian kinerja adalah lembar/dokumen yang berisikan penugasan dari pimpinan instansi yang lebih tinggi kepada pimpinan instansi yang lebih rendah untuk melaksanakn program/kegiatan yang disertai dengan indokator kinerja. Melalui perjanjian kinerja terwujudlah komitmen penerima amanah dan kesepakatan antara pemberi amanah dan penerima amanah atas kinerja terukur tertentu berdasarkan tugas, fungsi dan wewenang serta sumber daya manusia yang tersedia. Kinerja yang disepakati tidak dibatasi pada kinerja yang dihasilkan atas kegiatan tahun yang bersangkutan, tetapi termasuk kinerja (outcome) yang seharusnya terwujud akibat kegiatan  tahun-tahun sebelumnya sehingga terwujud kesinambungan kinerja setiap tahunnya.</w:t>
      </w:r>
    </w:p>
    <w:p>
      <w:pPr>
        <w:tabs>
          <w:tab w:val="left" w:pos="993"/>
          <w:tab w:val="left" w:pos="1701"/>
        </w:tabs>
        <w:spacing w:after="0" w:line="360" w:lineRule="auto"/>
        <w:ind w:left="993" w:hanging="567"/>
        <w:jc w:val="both"/>
        <w:rPr>
          <w:rFonts w:hint="default" w:ascii="Cambria" w:hAnsi="Cambria" w:cs="Cambria"/>
          <w:sz w:val="24"/>
          <w:szCs w:val="24"/>
          <w:lang w:val="fi-FI"/>
        </w:rPr>
      </w:pPr>
      <w:r>
        <w:rPr>
          <w:rFonts w:hint="default" w:ascii="Cambria" w:hAnsi="Cambria" w:cs="Cambria"/>
          <w:sz w:val="24"/>
          <w:szCs w:val="24"/>
          <w:lang w:val="fi-FI"/>
        </w:rPr>
        <w:t>Tujuan penyusunan perjanjian kinerja antara lain :</w:t>
      </w:r>
    </w:p>
    <w:p>
      <w:pPr>
        <w:pStyle w:val="13"/>
        <w:numPr>
          <w:ilvl w:val="0"/>
          <w:numId w:val="36"/>
        </w:numPr>
        <w:tabs>
          <w:tab w:val="left" w:pos="993"/>
          <w:tab w:val="left" w:pos="1701"/>
        </w:tabs>
        <w:spacing w:after="0" w:line="360" w:lineRule="auto"/>
        <w:ind w:left="851" w:hanging="425"/>
        <w:jc w:val="both"/>
        <w:rPr>
          <w:rFonts w:hint="default" w:ascii="Cambria" w:hAnsi="Cambria" w:cs="Cambria"/>
          <w:sz w:val="24"/>
          <w:szCs w:val="24"/>
          <w:lang w:val="fi-FI"/>
        </w:rPr>
      </w:pPr>
      <w:r>
        <w:rPr>
          <w:rFonts w:hint="default" w:ascii="Cambria" w:hAnsi="Cambria" w:cs="Cambria"/>
          <w:sz w:val="24"/>
          <w:szCs w:val="24"/>
          <w:lang w:val="fi-FI"/>
        </w:rPr>
        <w:t>Sebagai wujud nyata komitmen antara penerima amanah dan pemberi amanah untuk meningkatkan integritas, akuntabilitas, kinerja aparatur.</w:t>
      </w:r>
    </w:p>
    <w:p>
      <w:pPr>
        <w:pStyle w:val="13"/>
        <w:numPr>
          <w:ilvl w:val="0"/>
          <w:numId w:val="36"/>
        </w:numPr>
        <w:tabs>
          <w:tab w:val="left" w:pos="993"/>
          <w:tab w:val="left" w:pos="1701"/>
        </w:tabs>
        <w:spacing w:after="0" w:line="360" w:lineRule="auto"/>
        <w:ind w:left="851" w:hanging="425"/>
        <w:jc w:val="both"/>
        <w:rPr>
          <w:rFonts w:hint="default" w:ascii="Cambria" w:hAnsi="Cambria" w:cs="Cambria"/>
          <w:sz w:val="24"/>
          <w:szCs w:val="24"/>
          <w:lang w:val="fi-FI"/>
        </w:rPr>
      </w:pPr>
      <w:r>
        <w:rPr>
          <w:rFonts w:hint="default" w:ascii="Cambria" w:hAnsi="Cambria" w:cs="Cambria"/>
          <w:sz w:val="24"/>
          <w:szCs w:val="24"/>
          <w:lang w:val="fi-FI"/>
        </w:rPr>
        <w:t>Menciptakan tolok ukur kinerja sebagai dasar evaluasi kinerja aparatur.</w:t>
      </w:r>
    </w:p>
    <w:p>
      <w:pPr>
        <w:pStyle w:val="13"/>
        <w:numPr>
          <w:ilvl w:val="0"/>
          <w:numId w:val="36"/>
        </w:numPr>
        <w:tabs>
          <w:tab w:val="left" w:pos="993"/>
          <w:tab w:val="left" w:pos="1701"/>
        </w:tabs>
        <w:spacing w:after="0" w:line="360" w:lineRule="auto"/>
        <w:ind w:left="851" w:hanging="425"/>
        <w:jc w:val="both"/>
        <w:rPr>
          <w:rFonts w:hint="default" w:ascii="Cambria" w:hAnsi="Cambria" w:cs="Cambria"/>
          <w:sz w:val="24"/>
          <w:szCs w:val="24"/>
          <w:lang w:val="fi-FI"/>
        </w:rPr>
      </w:pPr>
      <w:r>
        <w:rPr>
          <w:rFonts w:hint="default" w:ascii="Cambria" w:hAnsi="Cambria" w:cs="Cambria"/>
          <w:sz w:val="24"/>
          <w:szCs w:val="24"/>
          <w:lang w:val="fi-FI"/>
        </w:rPr>
        <w:t>Sebagai dasar penilaian keberhasilan/kegagalan pencapaian tujuan dan sasaran organisasi dan sebagai dasar pemberian penghargaan dan sanksi.</w:t>
      </w:r>
    </w:p>
    <w:p>
      <w:pPr>
        <w:pStyle w:val="13"/>
        <w:numPr>
          <w:ilvl w:val="0"/>
          <w:numId w:val="36"/>
        </w:numPr>
        <w:tabs>
          <w:tab w:val="left" w:pos="993"/>
          <w:tab w:val="left" w:pos="1701"/>
        </w:tabs>
        <w:spacing w:after="0" w:line="360" w:lineRule="auto"/>
        <w:ind w:left="851" w:hanging="425"/>
        <w:jc w:val="both"/>
        <w:rPr>
          <w:rFonts w:hint="default" w:ascii="Cambria" w:hAnsi="Cambria" w:cs="Cambria"/>
          <w:sz w:val="24"/>
          <w:szCs w:val="24"/>
          <w:lang w:val="fi-FI"/>
        </w:rPr>
      </w:pPr>
      <w:r>
        <w:rPr>
          <w:rFonts w:hint="default" w:ascii="Cambria" w:hAnsi="Cambria" w:cs="Cambria"/>
          <w:sz w:val="24"/>
          <w:szCs w:val="24"/>
          <w:lang w:val="fi-FI"/>
        </w:rPr>
        <w:t>Sebagai dasar bagi pemberi amanah untuk melakukan amanah untuk melakukan monitoring, evaluasi dan supervisi atas perkembangan/kemajuan kinerja penerima amanah.</w:t>
      </w:r>
    </w:p>
    <w:p>
      <w:pPr>
        <w:pStyle w:val="13"/>
        <w:numPr>
          <w:ilvl w:val="0"/>
          <w:numId w:val="36"/>
        </w:numPr>
        <w:tabs>
          <w:tab w:val="left" w:pos="993"/>
          <w:tab w:val="left" w:pos="1701"/>
        </w:tabs>
        <w:spacing w:after="0" w:line="360" w:lineRule="auto"/>
        <w:ind w:left="851" w:hanging="425"/>
        <w:jc w:val="both"/>
        <w:rPr>
          <w:rFonts w:hint="default" w:ascii="Cambria" w:hAnsi="Cambria" w:cs="Cambria"/>
          <w:sz w:val="24"/>
          <w:szCs w:val="24"/>
          <w:lang w:val="fi-FI"/>
        </w:rPr>
      </w:pPr>
      <w:r>
        <w:rPr>
          <w:rFonts w:hint="default" w:ascii="Cambria" w:hAnsi="Cambria" w:cs="Cambria"/>
          <w:sz w:val="24"/>
          <w:szCs w:val="24"/>
          <w:lang w:val="fi-FI"/>
        </w:rPr>
        <w:t>Sebagai dasar dalam penetapan sasaran kinerja pegawai.</w:t>
      </w:r>
    </w:p>
    <w:p>
      <w:pPr>
        <w:pStyle w:val="13"/>
        <w:tabs>
          <w:tab w:val="left" w:pos="993"/>
          <w:tab w:val="left" w:pos="1701"/>
        </w:tabs>
        <w:spacing w:after="0" w:line="360" w:lineRule="auto"/>
        <w:ind w:left="851"/>
        <w:jc w:val="both"/>
        <w:rPr>
          <w:rFonts w:hint="default" w:ascii="Cambria" w:hAnsi="Cambria" w:cs="Cambria"/>
          <w:sz w:val="24"/>
          <w:szCs w:val="24"/>
          <w:lang w:val="fi-FI"/>
        </w:rPr>
      </w:pPr>
    </w:p>
    <w:p>
      <w:pPr>
        <w:pStyle w:val="13"/>
        <w:tabs>
          <w:tab w:val="left" w:pos="993"/>
          <w:tab w:val="left" w:pos="1701"/>
        </w:tabs>
        <w:spacing w:after="0" w:line="360" w:lineRule="auto"/>
        <w:ind w:left="851"/>
        <w:jc w:val="both"/>
        <w:rPr>
          <w:rFonts w:hint="default" w:ascii="Cambria" w:hAnsi="Cambria" w:cs="Cambria"/>
          <w:sz w:val="24"/>
          <w:szCs w:val="24"/>
          <w:lang w:val="fi-FI"/>
        </w:rPr>
      </w:pPr>
    </w:p>
    <w:p>
      <w:pPr>
        <w:pStyle w:val="13"/>
        <w:tabs>
          <w:tab w:val="left" w:pos="993"/>
          <w:tab w:val="left" w:pos="1701"/>
        </w:tabs>
        <w:spacing w:after="0" w:line="360" w:lineRule="auto"/>
        <w:ind w:left="851"/>
        <w:jc w:val="both"/>
        <w:rPr>
          <w:rFonts w:hint="default" w:ascii="Cambria" w:hAnsi="Cambria" w:cs="Cambria"/>
          <w:sz w:val="24"/>
          <w:szCs w:val="24"/>
          <w:lang w:val="fi-FI"/>
        </w:rPr>
      </w:pPr>
    </w:p>
    <w:p>
      <w:pPr>
        <w:pStyle w:val="13"/>
        <w:tabs>
          <w:tab w:val="left" w:pos="993"/>
          <w:tab w:val="left" w:pos="1701"/>
        </w:tabs>
        <w:spacing w:after="0" w:line="360" w:lineRule="auto"/>
        <w:ind w:left="851"/>
        <w:jc w:val="both"/>
        <w:rPr>
          <w:rFonts w:hint="default" w:ascii="Cambria" w:hAnsi="Cambria" w:cs="Cambria"/>
          <w:sz w:val="24"/>
          <w:szCs w:val="24"/>
          <w:lang w:val="fi-FI"/>
        </w:rPr>
      </w:pPr>
    </w:p>
    <w:p>
      <w:pPr>
        <w:pStyle w:val="13"/>
        <w:tabs>
          <w:tab w:val="left" w:pos="993"/>
          <w:tab w:val="left" w:pos="1701"/>
        </w:tabs>
        <w:spacing w:after="0" w:line="360" w:lineRule="auto"/>
        <w:ind w:left="851"/>
        <w:jc w:val="both"/>
        <w:rPr>
          <w:rFonts w:hint="default" w:ascii="Cambria" w:hAnsi="Cambria" w:cs="Cambria"/>
          <w:sz w:val="24"/>
          <w:szCs w:val="24"/>
          <w:lang w:val="fi-FI"/>
        </w:rPr>
      </w:pPr>
    </w:p>
    <w:p>
      <w:pPr>
        <w:pStyle w:val="13"/>
        <w:tabs>
          <w:tab w:val="left" w:pos="993"/>
          <w:tab w:val="left" w:pos="1701"/>
        </w:tabs>
        <w:spacing w:after="0" w:line="360" w:lineRule="auto"/>
        <w:ind w:left="851"/>
        <w:jc w:val="both"/>
        <w:rPr>
          <w:rFonts w:hint="default" w:ascii="Cambria" w:hAnsi="Cambria" w:cs="Cambria"/>
          <w:sz w:val="24"/>
          <w:szCs w:val="24"/>
          <w:lang w:val="fi-FI"/>
        </w:rPr>
      </w:pPr>
    </w:p>
    <w:p>
      <w:pPr>
        <w:pStyle w:val="13"/>
        <w:tabs>
          <w:tab w:val="left" w:pos="993"/>
          <w:tab w:val="left" w:pos="1701"/>
        </w:tabs>
        <w:spacing w:after="0" w:line="360" w:lineRule="auto"/>
        <w:ind w:left="851"/>
        <w:jc w:val="both"/>
        <w:rPr>
          <w:rFonts w:hint="default" w:ascii="Cambria" w:hAnsi="Cambria" w:cs="Cambria"/>
          <w:sz w:val="24"/>
          <w:szCs w:val="24"/>
          <w:lang w:val="fi-FI"/>
        </w:rPr>
      </w:pPr>
    </w:p>
    <w:p>
      <w:pPr>
        <w:tabs>
          <w:tab w:val="left" w:pos="993"/>
          <w:tab w:val="left" w:pos="1701"/>
        </w:tabs>
        <w:spacing w:after="0" w:line="360" w:lineRule="auto"/>
        <w:jc w:val="center"/>
        <w:rPr>
          <w:rFonts w:hint="default" w:ascii="Cambria" w:hAnsi="Cambria" w:cs="Cambria"/>
          <w:sz w:val="24"/>
          <w:szCs w:val="24"/>
          <w:lang w:val="fi-FI"/>
        </w:rPr>
      </w:pPr>
      <w:r>
        <w:rPr>
          <w:rFonts w:hint="default" w:ascii="Cambria" w:hAnsi="Cambria" w:cs="Cambria"/>
          <w:sz w:val="24"/>
          <w:szCs w:val="24"/>
          <w:lang w:val="fi-FI"/>
        </w:rPr>
        <w:t>Tabel 2.4.1</w:t>
      </w:r>
    </w:p>
    <w:p>
      <w:pPr>
        <w:tabs>
          <w:tab w:val="left" w:pos="993"/>
          <w:tab w:val="left" w:pos="1701"/>
        </w:tabs>
        <w:spacing w:after="0" w:line="360" w:lineRule="auto"/>
        <w:jc w:val="center"/>
        <w:rPr>
          <w:rFonts w:hint="default" w:ascii="Cambria" w:hAnsi="Cambria" w:cs="Cambria"/>
          <w:sz w:val="24"/>
          <w:szCs w:val="24"/>
          <w:lang w:val="en-US"/>
        </w:rPr>
      </w:pPr>
      <w:r>
        <w:rPr>
          <w:rFonts w:hint="default" w:ascii="Cambria" w:hAnsi="Cambria" w:cs="Cambria"/>
          <w:sz w:val="24"/>
          <w:szCs w:val="24"/>
          <w:lang w:val="fi-FI"/>
        </w:rPr>
        <w:t>Pernjanjian Kinerja Tahun 202</w:t>
      </w:r>
      <w:r>
        <w:rPr>
          <w:rFonts w:hint="default" w:ascii="Cambria" w:hAnsi="Cambria" w:cs="Cambria"/>
          <w:sz w:val="24"/>
          <w:szCs w:val="24"/>
          <w:lang w:val="en-US"/>
        </w:rPr>
        <w:t>2</w:t>
      </w:r>
    </w:p>
    <w:tbl>
      <w:tblPr>
        <w:tblStyle w:val="10"/>
        <w:tblW w:w="83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2"/>
        <w:gridCol w:w="2428"/>
        <w:gridCol w:w="4067"/>
        <w:gridCol w:w="12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3" w:hRule="atLeast"/>
        </w:trPr>
        <w:tc>
          <w:tcPr>
            <w:tcW w:w="622" w:type="dxa"/>
            <w:vAlign w:val="center"/>
          </w:tcPr>
          <w:p>
            <w:pPr>
              <w:jc w:val="center"/>
              <w:rPr>
                <w:rFonts w:ascii="Bookman Old Style" w:hAnsi="Bookman Old Style"/>
                <w:b/>
                <w:sz w:val="20"/>
                <w:szCs w:val="20"/>
                <w:lang w:val="id-ID"/>
              </w:rPr>
            </w:pPr>
            <w:r>
              <w:rPr>
                <w:rFonts w:ascii="Bookman Old Style" w:hAnsi="Bookman Old Style"/>
                <w:b/>
                <w:sz w:val="20"/>
                <w:szCs w:val="20"/>
                <w:lang w:val="id-ID"/>
              </w:rPr>
              <w:t>NO</w:t>
            </w:r>
          </w:p>
        </w:tc>
        <w:tc>
          <w:tcPr>
            <w:tcW w:w="2428" w:type="dxa"/>
            <w:vAlign w:val="center"/>
          </w:tcPr>
          <w:p>
            <w:pPr>
              <w:jc w:val="center"/>
              <w:rPr>
                <w:rFonts w:ascii="Bookman Old Style" w:hAnsi="Bookman Old Style"/>
                <w:b/>
                <w:sz w:val="20"/>
                <w:szCs w:val="20"/>
                <w:lang w:val="id-ID"/>
              </w:rPr>
            </w:pPr>
            <w:r>
              <w:rPr>
                <w:rFonts w:ascii="Bookman Old Style" w:hAnsi="Bookman Old Style"/>
                <w:b/>
                <w:sz w:val="20"/>
                <w:szCs w:val="20"/>
                <w:lang w:val="id-ID"/>
              </w:rPr>
              <w:t>SASARAN STRATEGIS</w:t>
            </w:r>
          </w:p>
        </w:tc>
        <w:tc>
          <w:tcPr>
            <w:tcW w:w="4067" w:type="dxa"/>
            <w:vAlign w:val="center"/>
          </w:tcPr>
          <w:p>
            <w:pPr>
              <w:jc w:val="center"/>
              <w:rPr>
                <w:rFonts w:ascii="Bookman Old Style" w:hAnsi="Bookman Old Style"/>
                <w:b/>
                <w:sz w:val="20"/>
                <w:szCs w:val="20"/>
                <w:lang w:val="id-ID"/>
              </w:rPr>
            </w:pPr>
            <w:r>
              <w:rPr>
                <w:rFonts w:ascii="Bookman Old Style" w:hAnsi="Bookman Old Style"/>
                <w:b/>
                <w:sz w:val="20"/>
                <w:szCs w:val="20"/>
                <w:lang w:val="id-ID"/>
              </w:rPr>
              <w:t>INDIKATOR KINERJA</w:t>
            </w:r>
          </w:p>
        </w:tc>
        <w:tc>
          <w:tcPr>
            <w:tcW w:w="1215" w:type="dxa"/>
            <w:vAlign w:val="center"/>
          </w:tcPr>
          <w:p>
            <w:pPr>
              <w:jc w:val="center"/>
              <w:rPr>
                <w:rFonts w:ascii="Bookman Old Style" w:hAnsi="Bookman Old Style"/>
                <w:b/>
                <w:sz w:val="20"/>
                <w:szCs w:val="20"/>
                <w:lang w:val="id-ID"/>
              </w:rPr>
            </w:pPr>
            <w:r>
              <w:rPr>
                <w:rFonts w:ascii="Bookman Old Style" w:hAnsi="Bookman Old Style"/>
                <w:b/>
                <w:sz w:val="20"/>
                <w:szCs w:val="20"/>
                <w:lang w:val="id-ID"/>
              </w:rPr>
              <w:t>TARGET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7" w:hRule="atLeast"/>
        </w:trPr>
        <w:tc>
          <w:tcPr>
            <w:tcW w:w="622" w:type="dxa"/>
            <w:vMerge w:val="restart"/>
          </w:tcPr>
          <w:p>
            <w:pPr>
              <w:pStyle w:val="13"/>
              <w:numPr>
                <w:ilvl w:val="0"/>
                <w:numId w:val="37"/>
              </w:numPr>
              <w:ind w:left="164" w:hanging="164"/>
              <w:rPr>
                <w:rFonts w:ascii="Bookman Old Style" w:hAnsi="Bookman Old Style"/>
                <w:b/>
                <w:sz w:val="20"/>
                <w:szCs w:val="20"/>
                <w:lang w:val="id-ID"/>
              </w:rPr>
            </w:pPr>
          </w:p>
        </w:tc>
        <w:tc>
          <w:tcPr>
            <w:tcW w:w="2428" w:type="dxa"/>
          </w:tcPr>
          <w:p>
            <w:pPr>
              <w:pStyle w:val="13"/>
              <w:numPr>
                <w:ilvl w:val="0"/>
                <w:numId w:val="38"/>
              </w:numPr>
              <w:ind w:left="304" w:hanging="304"/>
              <w:rPr>
                <w:rFonts w:ascii="Bookman Old Style" w:hAnsi="Bookman Old Style"/>
                <w:sz w:val="20"/>
                <w:szCs w:val="20"/>
                <w:lang w:val="id-ID"/>
              </w:rPr>
            </w:pPr>
            <w:r>
              <w:rPr>
                <w:rFonts w:ascii="Bookman Old Style" w:hAnsi="Bookman Old Style"/>
                <w:sz w:val="20"/>
                <w:szCs w:val="20"/>
                <w:lang w:val="id-ID"/>
              </w:rPr>
              <w:t>Meningkatnya Nilai SAKIP</w:t>
            </w:r>
          </w:p>
        </w:tc>
        <w:tc>
          <w:tcPr>
            <w:tcW w:w="4067" w:type="dxa"/>
          </w:tcPr>
          <w:p>
            <w:pPr>
              <w:pStyle w:val="13"/>
              <w:numPr>
                <w:ilvl w:val="0"/>
                <w:numId w:val="39"/>
              </w:numPr>
              <w:ind w:left="276" w:hanging="276"/>
              <w:rPr>
                <w:rFonts w:ascii="Bookman Old Style" w:hAnsi="Bookman Old Style"/>
                <w:sz w:val="20"/>
                <w:szCs w:val="20"/>
                <w:lang w:val="id-ID"/>
              </w:rPr>
            </w:pPr>
            <w:r>
              <w:rPr>
                <w:rFonts w:ascii="Bookman Old Style" w:hAnsi="Bookman Old Style"/>
                <w:sz w:val="20"/>
                <w:szCs w:val="20"/>
                <w:lang w:val="id-ID"/>
              </w:rPr>
              <w:t>Nilai Perencanaan Kinerja</w:t>
            </w:r>
          </w:p>
          <w:p>
            <w:pPr>
              <w:pStyle w:val="13"/>
              <w:numPr>
                <w:numId w:val="0"/>
              </w:numPr>
              <w:ind w:leftChars="0"/>
              <w:rPr>
                <w:rFonts w:ascii="Bookman Old Style" w:hAnsi="Bookman Old Style"/>
                <w:sz w:val="20"/>
                <w:szCs w:val="20"/>
                <w:lang w:val="id-ID"/>
              </w:rPr>
            </w:pPr>
          </w:p>
          <w:p>
            <w:pPr>
              <w:pStyle w:val="13"/>
              <w:numPr>
                <w:ilvl w:val="0"/>
                <w:numId w:val="39"/>
              </w:numPr>
              <w:ind w:left="276" w:hanging="276"/>
              <w:rPr>
                <w:rFonts w:ascii="Bookman Old Style" w:hAnsi="Bookman Old Style"/>
                <w:sz w:val="20"/>
                <w:szCs w:val="20"/>
                <w:lang w:val="id-ID"/>
              </w:rPr>
            </w:pPr>
            <w:r>
              <w:rPr>
                <w:rFonts w:ascii="Bookman Old Style" w:hAnsi="Bookman Old Style"/>
                <w:sz w:val="20"/>
                <w:szCs w:val="20"/>
                <w:lang w:val="id-ID"/>
              </w:rPr>
              <w:t>Nilai Pengukuran Kinerja</w:t>
            </w:r>
          </w:p>
          <w:p>
            <w:pPr>
              <w:pStyle w:val="13"/>
              <w:numPr>
                <w:numId w:val="0"/>
              </w:numPr>
              <w:ind w:leftChars="0"/>
              <w:rPr>
                <w:rFonts w:ascii="Bookman Old Style" w:hAnsi="Bookman Old Style"/>
                <w:sz w:val="20"/>
                <w:szCs w:val="20"/>
                <w:lang w:val="id-ID"/>
              </w:rPr>
            </w:pPr>
          </w:p>
          <w:p>
            <w:pPr>
              <w:pStyle w:val="13"/>
              <w:numPr>
                <w:ilvl w:val="0"/>
                <w:numId w:val="39"/>
              </w:numPr>
              <w:ind w:left="276" w:hanging="276"/>
              <w:rPr>
                <w:rFonts w:ascii="Bookman Old Style" w:hAnsi="Bookman Old Style"/>
                <w:sz w:val="20"/>
                <w:szCs w:val="20"/>
                <w:lang w:val="id-ID"/>
              </w:rPr>
            </w:pPr>
            <w:r>
              <w:rPr>
                <w:rFonts w:ascii="Bookman Old Style" w:hAnsi="Bookman Old Style"/>
                <w:sz w:val="20"/>
                <w:szCs w:val="20"/>
                <w:lang w:val="id-ID"/>
              </w:rPr>
              <w:t>Nilai Pelaporan Kinerja</w:t>
            </w:r>
          </w:p>
          <w:p>
            <w:pPr>
              <w:pStyle w:val="13"/>
              <w:numPr>
                <w:numId w:val="0"/>
              </w:numPr>
              <w:ind w:leftChars="0"/>
              <w:rPr>
                <w:rFonts w:ascii="Bookman Old Style" w:hAnsi="Bookman Old Style"/>
                <w:sz w:val="20"/>
                <w:szCs w:val="20"/>
                <w:lang w:val="id-ID"/>
              </w:rPr>
            </w:pPr>
          </w:p>
          <w:p>
            <w:pPr>
              <w:pStyle w:val="13"/>
              <w:numPr>
                <w:ilvl w:val="0"/>
                <w:numId w:val="39"/>
              </w:numPr>
              <w:ind w:left="276" w:hanging="276"/>
              <w:rPr>
                <w:rFonts w:ascii="Bookman Old Style" w:hAnsi="Bookman Old Style"/>
                <w:b/>
                <w:sz w:val="20"/>
                <w:szCs w:val="20"/>
                <w:lang w:val="id-ID"/>
              </w:rPr>
            </w:pPr>
            <w:r>
              <w:rPr>
                <w:rFonts w:ascii="Bookman Old Style" w:hAnsi="Bookman Old Style"/>
                <w:sz w:val="20"/>
                <w:szCs w:val="20"/>
                <w:lang w:val="id-ID"/>
              </w:rPr>
              <w:t>Nilai Evaluasi Internal</w:t>
            </w:r>
          </w:p>
        </w:tc>
        <w:tc>
          <w:tcPr>
            <w:tcW w:w="1215" w:type="dxa"/>
          </w:tcPr>
          <w:p>
            <w:pPr>
              <w:jc w:val="center"/>
              <w:rPr>
                <w:rFonts w:ascii="Bookman Old Style" w:hAnsi="Bookman Old Style"/>
                <w:sz w:val="20"/>
                <w:szCs w:val="20"/>
                <w:lang w:val="id-ID"/>
              </w:rPr>
            </w:pPr>
            <w:r>
              <w:rPr>
                <w:rFonts w:ascii="Bookman Old Style" w:hAnsi="Bookman Old Style"/>
                <w:sz w:val="20"/>
                <w:szCs w:val="20"/>
                <w:lang w:val="id-ID"/>
              </w:rPr>
              <w:t>21,25</w:t>
            </w:r>
          </w:p>
          <w:p>
            <w:pPr>
              <w:jc w:val="center"/>
              <w:rPr>
                <w:rFonts w:ascii="Bookman Old Style" w:hAnsi="Bookman Old Style"/>
                <w:sz w:val="20"/>
                <w:szCs w:val="20"/>
                <w:lang w:val="id-ID"/>
              </w:rPr>
            </w:pPr>
            <w:r>
              <w:rPr>
                <w:rFonts w:ascii="Bookman Old Style" w:hAnsi="Bookman Old Style"/>
                <w:sz w:val="20"/>
                <w:szCs w:val="20"/>
                <w:lang w:val="id-ID"/>
              </w:rPr>
              <w:t>14,15</w:t>
            </w:r>
          </w:p>
          <w:p>
            <w:pPr>
              <w:jc w:val="center"/>
              <w:rPr>
                <w:rFonts w:ascii="Bookman Old Style" w:hAnsi="Bookman Old Style"/>
                <w:sz w:val="20"/>
                <w:szCs w:val="20"/>
                <w:lang w:val="id-ID"/>
              </w:rPr>
            </w:pPr>
            <w:r>
              <w:rPr>
                <w:rFonts w:ascii="Bookman Old Style" w:hAnsi="Bookman Old Style"/>
                <w:sz w:val="20"/>
                <w:szCs w:val="20"/>
                <w:lang w:val="id-ID"/>
              </w:rPr>
              <w:t>13,15</w:t>
            </w:r>
          </w:p>
          <w:p>
            <w:pPr>
              <w:jc w:val="center"/>
              <w:rPr>
                <w:rFonts w:ascii="Bookman Old Style" w:hAnsi="Bookman Old Style"/>
                <w:sz w:val="20"/>
                <w:szCs w:val="20"/>
                <w:lang w:val="id-ID"/>
              </w:rPr>
            </w:pPr>
            <w:r>
              <w:rPr>
                <w:rFonts w:ascii="Bookman Old Style" w:hAnsi="Bookman Old Style"/>
                <w:sz w:val="20"/>
                <w:szCs w:val="20"/>
                <w:lang w:val="id-ID"/>
              </w:rPr>
              <w:t>12,51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5" w:hRule="atLeast"/>
        </w:trPr>
        <w:tc>
          <w:tcPr>
            <w:tcW w:w="622" w:type="dxa"/>
            <w:vMerge w:val="continue"/>
          </w:tcPr>
          <w:p>
            <w:pPr>
              <w:jc w:val="center"/>
              <w:rPr>
                <w:rFonts w:ascii="Bookman Old Style" w:hAnsi="Bookman Old Style"/>
                <w:b/>
                <w:sz w:val="20"/>
                <w:szCs w:val="20"/>
                <w:lang w:val="id-ID"/>
              </w:rPr>
            </w:pPr>
          </w:p>
        </w:tc>
        <w:tc>
          <w:tcPr>
            <w:tcW w:w="2428" w:type="dxa"/>
          </w:tcPr>
          <w:p>
            <w:pPr>
              <w:pStyle w:val="13"/>
              <w:numPr>
                <w:ilvl w:val="0"/>
                <w:numId w:val="38"/>
              </w:numPr>
              <w:ind w:left="304" w:hanging="304"/>
              <w:rPr>
                <w:rFonts w:ascii="Bookman Old Style" w:hAnsi="Bookman Old Style"/>
                <w:sz w:val="20"/>
                <w:szCs w:val="20"/>
                <w:lang w:val="id-ID"/>
              </w:rPr>
            </w:pPr>
            <w:r>
              <w:rPr>
                <w:rFonts w:ascii="Bookman Old Style" w:hAnsi="Bookman Old Style"/>
                <w:sz w:val="20"/>
                <w:szCs w:val="20"/>
                <w:lang w:val="id-ID"/>
              </w:rPr>
              <w:t>Meningkatnya Kualitas Pelayanan kepada masyarakat</w:t>
            </w:r>
          </w:p>
        </w:tc>
        <w:tc>
          <w:tcPr>
            <w:tcW w:w="4067" w:type="dxa"/>
          </w:tcPr>
          <w:p>
            <w:pPr>
              <w:jc w:val="center"/>
              <w:rPr>
                <w:rFonts w:ascii="Bookman Old Style" w:hAnsi="Bookman Old Style"/>
                <w:sz w:val="20"/>
                <w:szCs w:val="20"/>
                <w:lang w:val="id-ID"/>
              </w:rPr>
            </w:pPr>
            <w:r>
              <w:rPr>
                <w:rFonts w:ascii="Bookman Old Style" w:hAnsi="Bookman Old Style"/>
                <w:sz w:val="20"/>
                <w:szCs w:val="20"/>
                <w:lang w:val="id-ID"/>
              </w:rPr>
              <w:t>Indeks Kepuasan Layanan</w:t>
            </w:r>
          </w:p>
        </w:tc>
        <w:tc>
          <w:tcPr>
            <w:tcW w:w="1215" w:type="dxa"/>
          </w:tcPr>
          <w:p>
            <w:pPr>
              <w:jc w:val="center"/>
              <w:rPr>
                <w:rFonts w:ascii="Bookman Old Style" w:hAnsi="Bookman Old Style"/>
                <w:sz w:val="20"/>
                <w:szCs w:val="20"/>
                <w:lang w:val="id-ID"/>
              </w:rPr>
            </w:pPr>
            <w:r>
              <w:rPr>
                <w:rFonts w:ascii="Bookman Old Style" w:hAnsi="Bookman Old Style"/>
                <w:sz w:val="20"/>
                <w:szCs w:val="20"/>
                <w:lang w:val="id-ID"/>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2" w:hRule="atLeast"/>
        </w:trPr>
        <w:tc>
          <w:tcPr>
            <w:tcW w:w="622" w:type="dxa"/>
            <w:vMerge w:val="continue"/>
          </w:tcPr>
          <w:p>
            <w:pPr>
              <w:jc w:val="center"/>
              <w:rPr>
                <w:rFonts w:ascii="Bookman Old Style" w:hAnsi="Bookman Old Style"/>
                <w:b/>
                <w:sz w:val="20"/>
                <w:szCs w:val="20"/>
                <w:lang w:val="id-ID"/>
              </w:rPr>
            </w:pPr>
          </w:p>
        </w:tc>
        <w:tc>
          <w:tcPr>
            <w:tcW w:w="2428" w:type="dxa"/>
          </w:tcPr>
          <w:p>
            <w:pPr>
              <w:pStyle w:val="13"/>
              <w:numPr>
                <w:ilvl w:val="0"/>
                <w:numId w:val="38"/>
              </w:numPr>
              <w:ind w:left="304" w:hanging="284"/>
              <w:rPr>
                <w:rFonts w:ascii="Bookman Old Style" w:hAnsi="Bookman Old Style"/>
                <w:sz w:val="20"/>
                <w:szCs w:val="20"/>
                <w:lang w:val="id-ID"/>
              </w:rPr>
            </w:pPr>
            <w:r>
              <w:rPr>
                <w:rFonts w:ascii="Bookman Old Style" w:hAnsi="Bookman Old Style"/>
                <w:sz w:val="20"/>
                <w:szCs w:val="20"/>
                <w:lang w:val="id-ID"/>
              </w:rPr>
              <w:t>Meningkatnya tertib administrasi pengelolaan keuangan dan aset daerah</w:t>
            </w:r>
          </w:p>
        </w:tc>
        <w:tc>
          <w:tcPr>
            <w:tcW w:w="4067" w:type="dxa"/>
          </w:tcPr>
          <w:p>
            <w:pPr>
              <w:jc w:val="center"/>
              <w:rPr>
                <w:rFonts w:ascii="Bookman Old Style" w:hAnsi="Bookman Old Style"/>
                <w:sz w:val="20"/>
                <w:szCs w:val="20"/>
                <w:lang w:val="id-ID"/>
              </w:rPr>
            </w:pPr>
            <w:r>
              <w:rPr>
                <w:rFonts w:ascii="Bookman Old Style" w:hAnsi="Bookman Old Style"/>
                <w:sz w:val="20"/>
                <w:szCs w:val="20"/>
                <w:lang w:val="id-ID"/>
              </w:rPr>
              <w:t>Laporan Keuangan sesuai SAP</w:t>
            </w:r>
          </w:p>
        </w:tc>
        <w:tc>
          <w:tcPr>
            <w:tcW w:w="1215" w:type="dxa"/>
          </w:tcPr>
          <w:p>
            <w:pPr>
              <w:jc w:val="center"/>
              <w:rPr>
                <w:rFonts w:ascii="Bookman Old Style" w:hAnsi="Bookman Old Style"/>
                <w:sz w:val="20"/>
                <w:szCs w:val="20"/>
                <w:lang w:val="id-ID"/>
              </w:rPr>
            </w:pPr>
            <w:r>
              <w:rPr>
                <w:rFonts w:ascii="Bookman Old Style" w:hAnsi="Bookman Old Style"/>
                <w:sz w:val="20"/>
                <w:szCs w:val="20"/>
                <w:lang w:val="id-ID"/>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4" w:hRule="atLeast"/>
        </w:trPr>
        <w:tc>
          <w:tcPr>
            <w:tcW w:w="622" w:type="dxa"/>
          </w:tcPr>
          <w:p>
            <w:pPr>
              <w:jc w:val="center"/>
              <w:rPr>
                <w:rFonts w:ascii="Bookman Old Style" w:hAnsi="Bookman Old Style"/>
                <w:sz w:val="20"/>
                <w:szCs w:val="20"/>
                <w:lang w:val="id-ID"/>
              </w:rPr>
            </w:pPr>
            <w:r>
              <w:rPr>
                <w:rFonts w:ascii="Bookman Old Style" w:hAnsi="Bookman Old Style"/>
                <w:sz w:val="20"/>
                <w:szCs w:val="20"/>
                <w:lang w:val="id-ID"/>
              </w:rPr>
              <w:t>2.</w:t>
            </w:r>
          </w:p>
        </w:tc>
        <w:tc>
          <w:tcPr>
            <w:tcW w:w="2428" w:type="dxa"/>
          </w:tcPr>
          <w:p>
            <w:pPr>
              <w:pStyle w:val="13"/>
              <w:ind w:left="20" w:hanging="20"/>
              <w:rPr>
                <w:rFonts w:ascii="Bookman Old Style" w:hAnsi="Bookman Old Style"/>
                <w:sz w:val="20"/>
                <w:szCs w:val="20"/>
                <w:lang w:val="id-ID"/>
              </w:rPr>
            </w:pPr>
            <w:r>
              <w:rPr>
                <w:rFonts w:ascii="Bookman Old Style" w:hAnsi="Bookman Old Style"/>
                <w:sz w:val="20"/>
                <w:szCs w:val="20"/>
                <w:lang w:val="id-ID"/>
              </w:rPr>
              <w:t>Meningkatnya kualitas kelembagaan, produktivitas dan daya saing serta kemandirian pelaku usaha</w:t>
            </w:r>
          </w:p>
          <w:p>
            <w:pPr>
              <w:rPr>
                <w:rFonts w:ascii="Bookman Old Style" w:hAnsi="Bookman Old Style"/>
                <w:sz w:val="20"/>
                <w:szCs w:val="20"/>
                <w:lang w:val="id-ID"/>
              </w:rPr>
            </w:pPr>
          </w:p>
          <w:p>
            <w:pPr>
              <w:rPr>
                <w:rFonts w:ascii="Bookman Old Style" w:hAnsi="Bookman Old Style"/>
                <w:sz w:val="20"/>
                <w:szCs w:val="20"/>
                <w:lang w:val="id-ID"/>
              </w:rPr>
            </w:pPr>
          </w:p>
          <w:p>
            <w:pPr>
              <w:tabs>
                <w:tab w:val="left" w:pos="990"/>
              </w:tabs>
              <w:rPr>
                <w:rFonts w:ascii="Bookman Old Style" w:hAnsi="Bookman Old Style"/>
                <w:sz w:val="20"/>
                <w:szCs w:val="20"/>
                <w:lang w:val="id-ID"/>
              </w:rPr>
            </w:pPr>
          </w:p>
        </w:tc>
        <w:tc>
          <w:tcPr>
            <w:tcW w:w="4067" w:type="dxa"/>
          </w:tcPr>
          <w:p>
            <w:pPr>
              <w:pStyle w:val="13"/>
              <w:numPr>
                <w:ilvl w:val="0"/>
                <w:numId w:val="40"/>
              </w:numPr>
              <w:ind w:left="276" w:hanging="284"/>
              <w:rPr>
                <w:rFonts w:ascii="Bookman Old Style" w:hAnsi="Bookman Old Style"/>
                <w:sz w:val="20"/>
                <w:szCs w:val="20"/>
                <w:lang w:val="id-ID"/>
              </w:rPr>
            </w:pPr>
            <w:r>
              <w:rPr>
                <w:rFonts w:ascii="Bookman Old Style" w:hAnsi="Bookman Old Style"/>
                <w:sz w:val="20"/>
                <w:szCs w:val="20"/>
                <w:lang w:val="id-ID"/>
              </w:rPr>
              <w:t>Persentase koperasi aktif</w:t>
            </w:r>
          </w:p>
          <w:p>
            <w:pPr>
              <w:pStyle w:val="13"/>
              <w:numPr>
                <w:numId w:val="0"/>
              </w:numPr>
              <w:ind w:left="-8" w:leftChars="0"/>
              <w:rPr>
                <w:rFonts w:ascii="Bookman Old Style" w:hAnsi="Bookman Old Style"/>
                <w:sz w:val="20"/>
                <w:szCs w:val="20"/>
                <w:lang w:val="id-ID"/>
              </w:rPr>
            </w:pPr>
          </w:p>
          <w:p>
            <w:pPr>
              <w:pStyle w:val="13"/>
              <w:numPr>
                <w:ilvl w:val="0"/>
                <w:numId w:val="40"/>
              </w:numPr>
              <w:ind w:left="276" w:hanging="284"/>
              <w:rPr>
                <w:rFonts w:ascii="Bookman Old Style" w:hAnsi="Bookman Old Style"/>
                <w:sz w:val="20"/>
                <w:szCs w:val="20"/>
                <w:lang w:val="id-ID"/>
              </w:rPr>
            </w:pPr>
            <w:r>
              <w:rPr>
                <w:rFonts w:ascii="Bookman Old Style" w:hAnsi="Bookman Old Style"/>
                <w:sz w:val="20"/>
                <w:szCs w:val="20"/>
                <w:lang w:val="id-ID"/>
              </w:rPr>
              <w:t>Persentase UKM non BPR/LKM aktif</w:t>
            </w:r>
          </w:p>
          <w:p>
            <w:pPr>
              <w:pStyle w:val="13"/>
              <w:numPr>
                <w:numId w:val="0"/>
              </w:numPr>
              <w:ind w:left="-8" w:leftChars="0"/>
              <w:rPr>
                <w:rFonts w:ascii="Bookman Old Style" w:hAnsi="Bookman Old Style"/>
                <w:sz w:val="20"/>
                <w:szCs w:val="20"/>
                <w:lang w:val="id-ID"/>
              </w:rPr>
            </w:pPr>
          </w:p>
          <w:p>
            <w:pPr>
              <w:pStyle w:val="13"/>
              <w:numPr>
                <w:ilvl w:val="0"/>
                <w:numId w:val="40"/>
              </w:numPr>
              <w:ind w:left="276" w:hanging="284"/>
              <w:rPr>
                <w:rFonts w:ascii="Bookman Old Style" w:hAnsi="Bookman Old Style"/>
                <w:sz w:val="20"/>
                <w:szCs w:val="20"/>
                <w:lang w:val="id-ID"/>
              </w:rPr>
            </w:pPr>
            <w:r>
              <w:rPr>
                <w:rFonts w:ascii="Bookman Old Style" w:hAnsi="Bookman Old Style"/>
                <w:sz w:val="20"/>
                <w:szCs w:val="20"/>
                <w:lang w:val="id-ID"/>
              </w:rPr>
              <w:t>Persentase BPR/LKM aktif</w:t>
            </w:r>
          </w:p>
          <w:p>
            <w:pPr>
              <w:pStyle w:val="13"/>
              <w:numPr>
                <w:numId w:val="0"/>
              </w:numPr>
              <w:ind w:left="-8" w:leftChars="0"/>
              <w:rPr>
                <w:rFonts w:ascii="Bookman Old Style" w:hAnsi="Bookman Old Style"/>
                <w:sz w:val="20"/>
                <w:szCs w:val="20"/>
                <w:lang w:val="id-ID"/>
              </w:rPr>
            </w:pPr>
          </w:p>
          <w:p>
            <w:pPr>
              <w:pStyle w:val="13"/>
              <w:numPr>
                <w:ilvl w:val="0"/>
                <w:numId w:val="40"/>
              </w:numPr>
              <w:ind w:left="276" w:hanging="284"/>
              <w:rPr>
                <w:rFonts w:ascii="Bookman Old Style" w:hAnsi="Bookman Old Style"/>
                <w:sz w:val="20"/>
                <w:szCs w:val="20"/>
                <w:lang w:val="id-ID"/>
              </w:rPr>
            </w:pPr>
            <w:r>
              <w:rPr>
                <w:rFonts w:ascii="Bookman Old Style" w:hAnsi="Bookman Old Style"/>
                <w:sz w:val="20"/>
                <w:szCs w:val="20"/>
                <w:lang w:val="id-ID"/>
              </w:rPr>
              <w:t>Persentase Usaha Mikro dan Kecil</w:t>
            </w:r>
          </w:p>
          <w:p>
            <w:pPr>
              <w:pStyle w:val="13"/>
              <w:numPr>
                <w:numId w:val="0"/>
              </w:numPr>
              <w:ind w:left="-8" w:leftChars="0"/>
              <w:rPr>
                <w:rFonts w:ascii="Bookman Old Style" w:hAnsi="Bookman Old Style"/>
                <w:sz w:val="20"/>
                <w:szCs w:val="20"/>
                <w:lang w:val="id-ID"/>
              </w:rPr>
            </w:pPr>
          </w:p>
          <w:p>
            <w:pPr>
              <w:pStyle w:val="13"/>
              <w:numPr>
                <w:ilvl w:val="0"/>
                <w:numId w:val="40"/>
              </w:numPr>
              <w:ind w:left="276" w:hanging="284"/>
              <w:rPr>
                <w:rFonts w:ascii="Bookman Old Style" w:hAnsi="Bookman Old Style"/>
                <w:sz w:val="20"/>
                <w:szCs w:val="20"/>
                <w:lang w:val="id-ID"/>
              </w:rPr>
            </w:pPr>
            <w:r>
              <w:rPr>
                <w:rFonts w:ascii="Bookman Old Style" w:hAnsi="Bookman Old Style"/>
                <w:sz w:val="20"/>
                <w:szCs w:val="20"/>
                <w:lang w:val="id-ID"/>
              </w:rPr>
              <w:t>Persentase Koperasi yang berkualitas</w:t>
            </w:r>
          </w:p>
          <w:p>
            <w:pPr>
              <w:pStyle w:val="13"/>
              <w:numPr>
                <w:numId w:val="0"/>
              </w:numPr>
              <w:ind w:left="-8" w:leftChars="0"/>
              <w:rPr>
                <w:rFonts w:ascii="Bookman Old Style" w:hAnsi="Bookman Old Style"/>
                <w:sz w:val="20"/>
                <w:szCs w:val="20"/>
                <w:lang w:val="id-ID"/>
              </w:rPr>
            </w:pPr>
          </w:p>
          <w:p>
            <w:pPr>
              <w:pStyle w:val="13"/>
              <w:numPr>
                <w:ilvl w:val="0"/>
                <w:numId w:val="40"/>
              </w:numPr>
              <w:ind w:left="276" w:hanging="284"/>
              <w:rPr>
                <w:rFonts w:ascii="Bookman Old Style" w:hAnsi="Bookman Old Style"/>
                <w:sz w:val="20"/>
                <w:szCs w:val="20"/>
                <w:lang w:val="id-ID"/>
              </w:rPr>
            </w:pPr>
            <w:r>
              <w:rPr>
                <w:rFonts w:ascii="Bookman Old Style" w:hAnsi="Bookman Old Style"/>
                <w:sz w:val="20"/>
                <w:szCs w:val="20"/>
                <w:lang w:val="id-ID"/>
              </w:rPr>
              <w:t>Persentase usaha kecil yang menjadi wirausaha</w:t>
            </w:r>
          </w:p>
        </w:tc>
        <w:tc>
          <w:tcPr>
            <w:tcW w:w="1215" w:type="dxa"/>
          </w:tcPr>
          <w:p>
            <w:pPr>
              <w:jc w:val="center"/>
              <w:rPr>
                <w:rFonts w:ascii="Bookman Old Style" w:hAnsi="Bookman Old Style"/>
                <w:sz w:val="20"/>
                <w:szCs w:val="20"/>
                <w:lang w:val="id-ID"/>
              </w:rPr>
            </w:pPr>
            <w:r>
              <w:rPr>
                <w:rFonts w:ascii="Bookman Old Style" w:hAnsi="Bookman Old Style"/>
                <w:sz w:val="20"/>
                <w:szCs w:val="20"/>
                <w:lang w:val="id-ID"/>
              </w:rPr>
              <w:t>88</w:t>
            </w:r>
          </w:p>
          <w:p>
            <w:pPr>
              <w:jc w:val="center"/>
              <w:rPr>
                <w:rFonts w:ascii="Bookman Old Style" w:hAnsi="Bookman Old Style"/>
                <w:sz w:val="20"/>
                <w:szCs w:val="20"/>
                <w:lang w:val="id-ID"/>
              </w:rPr>
            </w:pPr>
            <w:r>
              <w:rPr>
                <w:rFonts w:ascii="Bookman Old Style" w:hAnsi="Bookman Old Style"/>
                <w:sz w:val="20"/>
                <w:szCs w:val="20"/>
                <w:lang w:val="id-ID"/>
              </w:rPr>
              <w:t>100</w:t>
            </w:r>
          </w:p>
          <w:p>
            <w:pPr>
              <w:jc w:val="center"/>
              <w:rPr>
                <w:rFonts w:ascii="Bookman Old Style" w:hAnsi="Bookman Old Style"/>
                <w:sz w:val="20"/>
                <w:szCs w:val="20"/>
                <w:lang w:val="id-ID"/>
              </w:rPr>
            </w:pPr>
          </w:p>
          <w:p>
            <w:pPr>
              <w:jc w:val="center"/>
              <w:rPr>
                <w:rFonts w:ascii="Bookman Old Style" w:hAnsi="Bookman Old Style"/>
                <w:sz w:val="20"/>
                <w:szCs w:val="20"/>
                <w:lang w:val="id-ID"/>
              </w:rPr>
            </w:pPr>
            <w:r>
              <w:rPr>
                <w:rFonts w:ascii="Bookman Old Style" w:hAnsi="Bookman Old Style"/>
                <w:sz w:val="20"/>
                <w:szCs w:val="20"/>
                <w:lang w:val="id-ID"/>
              </w:rPr>
              <w:t>100</w:t>
            </w:r>
          </w:p>
          <w:p>
            <w:pPr>
              <w:jc w:val="center"/>
              <w:rPr>
                <w:rFonts w:ascii="Bookman Old Style" w:hAnsi="Bookman Old Style"/>
                <w:sz w:val="20"/>
                <w:szCs w:val="20"/>
                <w:lang w:val="id-ID"/>
              </w:rPr>
            </w:pPr>
            <w:r>
              <w:rPr>
                <w:rFonts w:ascii="Bookman Old Style" w:hAnsi="Bookman Old Style"/>
                <w:sz w:val="20"/>
                <w:szCs w:val="20"/>
                <w:lang w:val="id-ID"/>
              </w:rPr>
              <w:t>100</w:t>
            </w:r>
          </w:p>
          <w:p>
            <w:pPr>
              <w:jc w:val="center"/>
              <w:rPr>
                <w:rFonts w:ascii="Bookman Old Style" w:hAnsi="Bookman Old Style"/>
                <w:sz w:val="20"/>
                <w:szCs w:val="20"/>
                <w:lang w:val="id-ID"/>
              </w:rPr>
            </w:pPr>
            <w:r>
              <w:rPr>
                <w:rFonts w:ascii="Bookman Old Style" w:hAnsi="Bookman Old Style"/>
                <w:sz w:val="20"/>
                <w:szCs w:val="20"/>
                <w:lang w:val="id-ID"/>
              </w:rPr>
              <w:t>4</w:t>
            </w:r>
          </w:p>
          <w:p>
            <w:pPr>
              <w:jc w:val="center"/>
              <w:rPr>
                <w:rFonts w:ascii="Bookman Old Style" w:hAnsi="Bookman Old Style"/>
                <w:sz w:val="20"/>
                <w:szCs w:val="20"/>
                <w:lang w:val="id-ID"/>
              </w:rPr>
            </w:pPr>
          </w:p>
          <w:p>
            <w:pPr>
              <w:jc w:val="center"/>
              <w:rPr>
                <w:rFonts w:ascii="Bookman Old Style" w:hAnsi="Bookman Old Style"/>
                <w:sz w:val="20"/>
                <w:szCs w:val="20"/>
                <w:lang w:val="id-ID"/>
              </w:rPr>
            </w:pPr>
            <w:r>
              <w:rPr>
                <w:rFonts w:ascii="Bookman Old Style" w:hAnsi="Bookman Old Style"/>
                <w:sz w:val="20"/>
                <w:szCs w:val="20"/>
                <w:lang w:val="id-ID"/>
              </w:rPr>
              <w:t>31.058</w:t>
            </w:r>
          </w:p>
          <w:p>
            <w:pPr>
              <w:jc w:val="center"/>
              <w:rPr>
                <w:rFonts w:ascii="Bookman Old Style" w:hAnsi="Bookman Old Style"/>
                <w:sz w:val="20"/>
                <w:szCs w:val="20"/>
                <w:lang w:val="id-ID"/>
              </w:rPr>
            </w:pPr>
          </w:p>
          <w:p>
            <w:pPr>
              <w:rPr>
                <w:rFonts w:ascii="Bookman Old Style" w:hAnsi="Bookman Old Style"/>
                <w:sz w:val="20"/>
                <w:szCs w:val="20"/>
                <w:lang w:val="id-ID"/>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4" w:hRule="atLeast"/>
        </w:trPr>
        <w:tc>
          <w:tcPr>
            <w:tcW w:w="622" w:type="dxa"/>
          </w:tcPr>
          <w:p>
            <w:pPr>
              <w:jc w:val="center"/>
              <w:rPr>
                <w:rFonts w:ascii="Bookman Old Style" w:hAnsi="Bookman Old Style"/>
                <w:sz w:val="20"/>
                <w:szCs w:val="20"/>
                <w:lang w:val="id-ID"/>
              </w:rPr>
            </w:pPr>
            <w:r>
              <w:rPr>
                <w:rFonts w:ascii="Bookman Old Style" w:hAnsi="Bookman Old Style"/>
                <w:sz w:val="20"/>
                <w:szCs w:val="20"/>
                <w:lang w:val="id-ID"/>
              </w:rPr>
              <w:t>3.</w:t>
            </w:r>
          </w:p>
        </w:tc>
        <w:tc>
          <w:tcPr>
            <w:tcW w:w="2428" w:type="dxa"/>
          </w:tcPr>
          <w:p>
            <w:pPr>
              <w:pStyle w:val="13"/>
              <w:ind w:left="20" w:hanging="20"/>
              <w:rPr>
                <w:rFonts w:ascii="Bookman Old Style" w:hAnsi="Bookman Old Style"/>
                <w:sz w:val="20"/>
                <w:szCs w:val="20"/>
                <w:lang w:val="id-ID"/>
              </w:rPr>
            </w:pPr>
            <w:r>
              <w:rPr>
                <w:rFonts w:ascii="Bookman Old Style" w:hAnsi="Bookman Old Style"/>
                <w:sz w:val="20"/>
                <w:szCs w:val="20"/>
                <w:lang w:val="id-ID"/>
              </w:rPr>
              <w:t>Meningkatnya pendapatan masyarakat pelaku usaha</w:t>
            </w:r>
          </w:p>
        </w:tc>
        <w:tc>
          <w:tcPr>
            <w:tcW w:w="4067" w:type="dxa"/>
          </w:tcPr>
          <w:p>
            <w:pPr>
              <w:pStyle w:val="13"/>
              <w:numPr>
                <w:ilvl w:val="0"/>
                <w:numId w:val="41"/>
              </w:numPr>
              <w:ind w:left="425" w:leftChars="0" w:hanging="425" w:firstLineChars="0"/>
              <w:rPr>
                <w:rFonts w:hint="default" w:ascii="Bookman Old Style" w:hAnsi="Bookman Old Style"/>
                <w:sz w:val="20"/>
                <w:szCs w:val="20"/>
                <w:lang w:val="en-US"/>
              </w:rPr>
            </w:pPr>
            <w:r>
              <w:rPr>
                <w:rFonts w:hint="default" w:ascii="Bookman Old Style" w:hAnsi="Bookman Old Style"/>
                <w:sz w:val="20"/>
                <w:szCs w:val="20"/>
                <w:lang w:val="en-US"/>
              </w:rPr>
              <w:t>Persentase Kontribusi sektor perindustrian terhadap PDRB</w:t>
            </w:r>
          </w:p>
          <w:p>
            <w:pPr>
              <w:pStyle w:val="13"/>
              <w:numPr>
                <w:numId w:val="0"/>
              </w:numPr>
              <w:tabs>
                <w:tab w:val="left" w:pos="425"/>
              </w:tabs>
              <w:spacing w:after="200" w:line="276" w:lineRule="auto"/>
              <w:contextualSpacing/>
              <w:rPr>
                <w:rFonts w:hint="default" w:ascii="Bookman Old Style" w:hAnsi="Bookman Old Style"/>
                <w:sz w:val="20"/>
                <w:szCs w:val="20"/>
                <w:lang w:val="en-US"/>
              </w:rPr>
            </w:pPr>
          </w:p>
          <w:p>
            <w:pPr>
              <w:pStyle w:val="13"/>
              <w:numPr>
                <w:ilvl w:val="0"/>
                <w:numId w:val="41"/>
              </w:numPr>
              <w:ind w:left="425" w:leftChars="0" w:hanging="425" w:firstLineChars="0"/>
              <w:rPr>
                <w:rFonts w:hint="default" w:ascii="Bookman Old Style" w:hAnsi="Bookman Old Style"/>
                <w:sz w:val="20"/>
                <w:szCs w:val="20"/>
                <w:lang w:val="en-US"/>
              </w:rPr>
            </w:pPr>
            <w:r>
              <w:rPr>
                <w:rFonts w:hint="default" w:ascii="Bookman Old Style" w:hAnsi="Bookman Old Style"/>
                <w:sz w:val="20"/>
                <w:szCs w:val="20"/>
                <w:lang w:val="en-US"/>
              </w:rPr>
              <w:t>Persentase kontribusi sektor perdagangan terhadap PDRB</w:t>
            </w:r>
          </w:p>
          <w:p>
            <w:pPr>
              <w:pStyle w:val="13"/>
              <w:numPr>
                <w:numId w:val="0"/>
              </w:numPr>
              <w:tabs>
                <w:tab w:val="left" w:pos="425"/>
              </w:tabs>
              <w:spacing w:after="200" w:line="276" w:lineRule="auto"/>
              <w:contextualSpacing/>
              <w:rPr>
                <w:rFonts w:hint="default" w:ascii="Bookman Old Style" w:hAnsi="Bookman Old Style"/>
                <w:sz w:val="20"/>
                <w:szCs w:val="20"/>
                <w:lang w:val="en-US"/>
              </w:rPr>
            </w:pPr>
          </w:p>
          <w:p>
            <w:pPr>
              <w:pStyle w:val="13"/>
              <w:numPr>
                <w:ilvl w:val="0"/>
                <w:numId w:val="41"/>
              </w:numPr>
              <w:ind w:left="425" w:leftChars="0" w:hanging="425" w:firstLineChars="0"/>
              <w:rPr>
                <w:rFonts w:hint="default" w:ascii="Bookman Old Style" w:hAnsi="Bookman Old Style"/>
                <w:sz w:val="20"/>
                <w:szCs w:val="20"/>
                <w:lang w:val="en-US"/>
              </w:rPr>
            </w:pPr>
            <w:r>
              <w:rPr>
                <w:rFonts w:hint="default" w:ascii="Bookman Old Style" w:hAnsi="Bookman Old Style"/>
                <w:sz w:val="20"/>
                <w:szCs w:val="20"/>
                <w:lang w:val="en-US"/>
              </w:rPr>
              <w:t>Pertumbuhan jumlah industri kecil dan menengah</w:t>
            </w:r>
          </w:p>
          <w:p>
            <w:pPr>
              <w:pStyle w:val="13"/>
              <w:numPr>
                <w:numId w:val="0"/>
              </w:numPr>
              <w:tabs>
                <w:tab w:val="left" w:pos="425"/>
              </w:tabs>
              <w:spacing w:after="200" w:line="276" w:lineRule="auto"/>
              <w:contextualSpacing/>
              <w:rPr>
                <w:rFonts w:hint="default" w:ascii="Bookman Old Style" w:hAnsi="Bookman Old Style"/>
                <w:sz w:val="20"/>
                <w:szCs w:val="20"/>
                <w:lang w:val="en-US"/>
              </w:rPr>
            </w:pPr>
          </w:p>
          <w:p>
            <w:pPr>
              <w:pStyle w:val="13"/>
              <w:numPr>
                <w:numId w:val="0"/>
              </w:numPr>
              <w:tabs>
                <w:tab w:val="left" w:pos="425"/>
              </w:tabs>
              <w:spacing w:after="200" w:line="276" w:lineRule="auto"/>
              <w:contextualSpacing/>
              <w:rPr>
                <w:rFonts w:hint="default" w:ascii="Bookman Old Style" w:hAnsi="Bookman Old Style"/>
                <w:sz w:val="20"/>
                <w:szCs w:val="20"/>
                <w:lang w:val="en-US"/>
              </w:rPr>
            </w:pPr>
          </w:p>
          <w:p>
            <w:pPr>
              <w:pStyle w:val="13"/>
              <w:numPr>
                <w:ilvl w:val="0"/>
                <w:numId w:val="41"/>
              </w:numPr>
              <w:ind w:left="425" w:leftChars="0" w:hanging="425" w:firstLineChars="0"/>
              <w:rPr>
                <w:rFonts w:hint="default" w:ascii="Bookman Old Style" w:hAnsi="Bookman Old Style"/>
                <w:sz w:val="20"/>
                <w:szCs w:val="20"/>
                <w:lang w:val="en-US"/>
              </w:rPr>
            </w:pPr>
            <w:r>
              <w:rPr>
                <w:rFonts w:hint="default" w:ascii="Bookman Old Style" w:hAnsi="Bookman Old Style"/>
                <w:sz w:val="20"/>
                <w:szCs w:val="20"/>
                <w:lang w:val="en-US"/>
              </w:rPr>
              <w:t>Persentase IKM yang berkembang modal usaha dan tenaga kerja</w:t>
            </w:r>
          </w:p>
          <w:p>
            <w:pPr>
              <w:pStyle w:val="13"/>
              <w:numPr>
                <w:numId w:val="0"/>
              </w:numPr>
              <w:tabs>
                <w:tab w:val="left" w:pos="425"/>
              </w:tabs>
              <w:spacing w:after="200" w:line="276" w:lineRule="auto"/>
              <w:contextualSpacing/>
              <w:rPr>
                <w:rFonts w:hint="default" w:ascii="Bookman Old Style" w:hAnsi="Bookman Old Style"/>
                <w:sz w:val="20"/>
                <w:szCs w:val="20"/>
                <w:lang w:val="en-US"/>
              </w:rPr>
            </w:pPr>
          </w:p>
          <w:p>
            <w:pPr>
              <w:pStyle w:val="13"/>
              <w:numPr>
                <w:numId w:val="0"/>
              </w:numPr>
              <w:tabs>
                <w:tab w:val="left" w:pos="425"/>
              </w:tabs>
              <w:spacing w:after="200" w:line="276" w:lineRule="auto"/>
              <w:contextualSpacing/>
              <w:rPr>
                <w:rFonts w:hint="default" w:ascii="Bookman Old Style" w:hAnsi="Bookman Old Style"/>
                <w:sz w:val="20"/>
                <w:szCs w:val="20"/>
                <w:lang w:val="en-US"/>
              </w:rPr>
            </w:pPr>
          </w:p>
          <w:p>
            <w:pPr>
              <w:pStyle w:val="13"/>
              <w:numPr>
                <w:numId w:val="0"/>
              </w:numPr>
              <w:tabs>
                <w:tab w:val="left" w:pos="425"/>
              </w:tabs>
              <w:spacing w:after="200" w:line="276" w:lineRule="auto"/>
              <w:contextualSpacing/>
              <w:rPr>
                <w:rFonts w:hint="default" w:ascii="Bookman Old Style" w:hAnsi="Bookman Old Style"/>
                <w:sz w:val="20"/>
                <w:szCs w:val="20"/>
                <w:lang w:val="en-US"/>
              </w:rPr>
            </w:pPr>
          </w:p>
          <w:p>
            <w:pPr>
              <w:pStyle w:val="13"/>
              <w:numPr>
                <w:ilvl w:val="0"/>
                <w:numId w:val="41"/>
              </w:numPr>
              <w:ind w:left="425" w:leftChars="0" w:hanging="425" w:firstLineChars="0"/>
              <w:rPr>
                <w:rFonts w:hint="default" w:ascii="Bookman Old Style" w:hAnsi="Bookman Old Style"/>
                <w:sz w:val="20"/>
                <w:szCs w:val="20"/>
                <w:lang w:val="en-US"/>
              </w:rPr>
            </w:pPr>
            <w:r>
              <w:rPr>
                <w:rFonts w:hint="default" w:ascii="Bookman Old Style" w:hAnsi="Bookman Old Style"/>
                <w:sz w:val="20"/>
                <w:szCs w:val="20"/>
                <w:lang w:val="en-US"/>
              </w:rPr>
              <w:t>Persentase IKM yang terdaftar pada sistem informasi nasional</w:t>
            </w:r>
          </w:p>
          <w:p>
            <w:pPr>
              <w:pStyle w:val="13"/>
              <w:ind w:left="276"/>
              <w:rPr>
                <w:rFonts w:ascii="Bookman Old Style" w:hAnsi="Bookman Old Style"/>
                <w:sz w:val="20"/>
                <w:szCs w:val="20"/>
                <w:lang w:val="id-ID"/>
              </w:rPr>
            </w:pPr>
          </w:p>
        </w:tc>
        <w:tc>
          <w:tcPr>
            <w:tcW w:w="1215" w:type="dxa"/>
          </w:tcPr>
          <w:p>
            <w:pPr>
              <w:jc w:val="center"/>
              <w:rPr>
                <w:rFonts w:ascii="Bookman Old Style" w:hAnsi="Bookman Old Style"/>
                <w:sz w:val="20"/>
                <w:szCs w:val="20"/>
                <w:lang w:val="id-ID"/>
              </w:rPr>
            </w:pPr>
            <w:r>
              <w:rPr>
                <w:rFonts w:hint="default" w:ascii="Bookman Old Style" w:hAnsi="Bookman Old Style"/>
                <w:sz w:val="20"/>
                <w:szCs w:val="20"/>
                <w:lang w:val="en-US"/>
              </w:rPr>
              <w:t>2</w:t>
            </w:r>
            <w:r>
              <w:rPr>
                <w:rFonts w:ascii="Bookman Old Style" w:hAnsi="Bookman Old Style"/>
                <w:sz w:val="20"/>
                <w:szCs w:val="20"/>
                <w:lang w:val="id-ID"/>
              </w:rPr>
              <w:t>,9</w:t>
            </w:r>
          </w:p>
          <w:p>
            <w:pPr>
              <w:jc w:val="center"/>
              <w:rPr>
                <w:rFonts w:ascii="Bookman Old Style" w:hAnsi="Bookman Old Style"/>
                <w:sz w:val="20"/>
                <w:szCs w:val="20"/>
                <w:lang w:val="id-ID"/>
              </w:rPr>
            </w:pPr>
          </w:p>
          <w:p>
            <w:pPr>
              <w:jc w:val="center"/>
              <w:rPr>
                <w:rFonts w:hint="default" w:ascii="Bookman Old Style" w:hAnsi="Bookman Old Style"/>
                <w:sz w:val="20"/>
                <w:szCs w:val="20"/>
                <w:lang w:val="en-US"/>
              </w:rPr>
            </w:pPr>
            <w:r>
              <w:rPr>
                <w:rFonts w:hint="default" w:ascii="Bookman Old Style" w:hAnsi="Bookman Old Style"/>
                <w:sz w:val="20"/>
                <w:szCs w:val="20"/>
                <w:lang w:val="en-US"/>
              </w:rPr>
              <w:t>7,88</w:t>
            </w:r>
          </w:p>
          <w:p>
            <w:pPr>
              <w:jc w:val="center"/>
              <w:rPr>
                <w:rFonts w:hint="default" w:ascii="Bookman Old Style" w:hAnsi="Bookman Old Style"/>
                <w:sz w:val="20"/>
                <w:szCs w:val="20"/>
                <w:lang w:val="en-US"/>
              </w:rPr>
            </w:pPr>
          </w:p>
          <w:p>
            <w:pPr>
              <w:jc w:val="center"/>
              <w:rPr>
                <w:rFonts w:hint="default" w:ascii="Bookman Old Style" w:hAnsi="Bookman Old Style"/>
                <w:sz w:val="20"/>
                <w:szCs w:val="20"/>
                <w:lang w:val="en-US"/>
              </w:rPr>
            </w:pPr>
            <w:r>
              <w:rPr>
                <w:rFonts w:hint="default" w:ascii="Bookman Old Style" w:hAnsi="Bookman Old Style"/>
                <w:sz w:val="20"/>
                <w:szCs w:val="20"/>
                <w:lang w:val="en-US"/>
              </w:rPr>
              <w:t>1300</w:t>
            </w:r>
          </w:p>
          <w:p>
            <w:pPr>
              <w:jc w:val="center"/>
              <w:rPr>
                <w:rFonts w:hint="default" w:ascii="Bookman Old Style" w:hAnsi="Bookman Old Style"/>
                <w:sz w:val="20"/>
                <w:szCs w:val="20"/>
                <w:lang w:val="en-US"/>
              </w:rPr>
            </w:pPr>
          </w:p>
          <w:p>
            <w:pPr>
              <w:jc w:val="center"/>
              <w:rPr>
                <w:rFonts w:hint="default" w:ascii="Bookman Old Style" w:hAnsi="Bookman Old Style"/>
                <w:sz w:val="20"/>
                <w:szCs w:val="20"/>
                <w:lang w:val="en-US"/>
              </w:rPr>
            </w:pPr>
            <w:r>
              <w:rPr>
                <w:rFonts w:hint="default" w:ascii="Bookman Old Style" w:hAnsi="Bookman Old Style"/>
                <w:sz w:val="20"/>
                <w:szCs w:val="20"/>
                <w:lang w:val="en-US"/>
              </w:rPr>
              <w:t>0,67</w:t>
            </w:r>
          </w:p>
          <w:p>
            <w:pPr>
              <w:jc w:val="center"/>
              <w:rPr>
                <w:rFonts w:hint="default" w:ascii="Bookman Old Style" w:hAnsi="Bookman Old Style"/>
                <w:sz w:val="20"/>
                <w:szCs w:val="20"/>
                <w:lang w:val="en-US"/>
              </w:rPr>
            </w:pPr>
          </w:p>
          <w:p>
            <w:pPr>
              <w:jc w:val="center"/>
              <w:rPr>
                <w:rFonts w:hint="default" w:ascii="Bookman Old Style" w:hAnsi="Bookman Old Style"/>
                <w:sz w:val="20"/>
                <w:szCs w:val="20"/>
                <w:lang w:val="en-US"/>
              </w:rPr>
            </w:pPr>
          </w:p>
          <w:p>
            <w:pPr>
              <w:jc w:val="center"/>
              <w:rPr>
                <w:rFonts w:hint="default" w:ascii="Bookman Old Style" w:hAnsi="Bookman Old Style"/>
                <w:sz w:val="20"/>
                <w:szCs w:val="20"/>
                <w:lang w:val="en-US"/>
              </w:rPr>
            </w:pPr>
            <w:r>
              <w:rPr>
                <w:rFonts w:hint="default" w:ascii="Bookman Old Style" w:hAnsi="Bookman Old Style"/>
                <w:sz w:val="20"/>
                <w:szCs w:val="20"/>
                <w:lang w:val="en-US"/>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4" w:hRule="atLeast"/>
        </w:trPr>
        <w:tc>
          <w:tcPr>
            <w:tcW w:w="622" w:type="dxa"/>
          </w:tcPr>
          <w:p>
            <w:pPr>
              <w:jc w:val="center"/>
              <w:rPr>
                <w:rFonts w:ascii="Bookman Old Style" w:hAnsi="Bookman Old Style"/>
                <w:sz w:val="20"/>
                <w:szCs w:val="20"/>
                <w:lang w:val="id-ID"/>
              </w:rPr>
            </w:pPr>
            <w:r>
              <w:rPr>
                <w:rFonts w:ascii="Bookman Old Style" w:hAnsi="Bookman Old Style"/>
                <w:sz w:val="20"/>
                <w:szCs w:val="20"/>
                <w:lang w:val="id-ID"/>
              </w:rPr>
              <w:t xml:space="preserve">4. </w:t>
            </w:r>
          </w:p>
        </w:tc>
        <w:tc>
          <w:tcPr>
            <w:tcW w:w="2428" w:type="dxa"/>
          </w:tcPr>
          <w:p>
            <w:pPr>
              <w:pStyle w:val="13"/>
              <w:ind w:left="20" w:hanging="20"/>
              <w:rPr>
                <w:rFonts w:ascii="Bookman Old Style" w:hAnsi="Bookman Old Style"/>
                <w:sz w:val="20"/>
                <w:szCs w:val="20"/>
                <w:lang w:val="id-ID"/>
              </w:rPr>
            </w:pPr>
            <w:r>
              <w:rPr>
                <w:rFonts w:ascii="Bookman Old Style" w:hAnsi="Bookman Old Style"/>
                <w:sz w:val="20"/>
                <w:szCs w:val="20"/>
                <w:lang w:val="id-ID"/>
              </w:rPr>
              <w:t>Meningkatnya potensi, peningkatan nilai tambah, penguasaan teknologi yang berwawasan lingkungan dan berbasis potensi lokal</w:t>
            </w:r>
          </w:p>
        </w:tc>
        <w:tc>
          <w:tcPr>
            <w:tcW w:w="4067" w:type="dxa"/>
          </w:tcPr>
          <w:p>
            <w:pPr>
              <w:pStyle w:val="13"/>
              <w:numPr>
                <w:ilvl w:val="0"/>
                <w:numId w:val="42"/>
              </w:numPr>
              <w:ind w:left="276" w:hanging="284"/>
              <w:rPr>
                <w:rFonts w:ascii="Bookman Old Style" w:hAnsi="Bookman Old Style"/>
                <w:sz w:val="20"/>
                <w:szCs w:val="20"/>
                <w:lang w:val="id-ID"/>
              </w:rPr>
            </w:pPr>
            <w:r>
              <w:rPr>
                <w:rFonts w:ascii="Bookman Old Style" w:hAnsi="Bookman Old Style"/>
                <w:sz w:val="20"/>
                <w:szCs w:val="20"/>
                <w:lang w:val="id-ID"/>
              </w:rPr>
              <w:t>Persentase rekomendasi Izin Usaha Sektor Perdagangan yang Diterbitkan</w:t>
            </w:r>
          </w:p>
          <w:p>
            <w:pPr>
              <w:pStyle w:val="13"/>
              <w:numPr>
                <w:numId w:val="0"/>
              </w:numPr>
              <w:spacing w:after="200" w:line="276" w:lineRule="auto"/>
              <w:contextualSpacing/>
              <w:rPr>
                <w:rFonts w:ascii="Bookman Old Style" w:hAnsi="Bookman Old Style"/>
                <w:sz w:val="20"/>
                <w:szCs w:val="20"/>
                <w:lang w:val="id-ID"/>
              </w:rPr>
            </w:pPr>
          </w:p>
          <w:p>
            <w:pPr>
              <w:pStyle w:val="13"/>
              <w:numPr>
                <w:numId w:val="0"/>
              </w:numPr>
              <w:spacing w:after="200" w:line="276" w:lineRule="auto"/>
              <w:contextualSpacing/>
              <w:rPr>
                <w:rFonts w:ascii="Bookman Old Style" w:hAnsi="Bookman Old Style"/>
                <w:sz w:val="20"/>
                <w:szCs w:val="20"/>
                <w:lang w:val="id-ID"/>
              </w:rPr>
            </w:pPr>
          </w:p>
          <w:p>
            <w:pPr>
              <w:pStyle w:val="13"/>
              <w:numPr>
                <w:ilvl w:val="0"/>
                <w:numId w:val="42"/>
              </w:numPr>
              <w:ind w:left="276" w:hanging="284"/>
              <w:rPr>
                <w:rFonts w:ascii="Bookman Old Style" w:hAnsi="Bookman Old Style"/>
                <w:sz w:val="20"/>
                <w:szCs w:val="20"/>
                <w:lang w:val="id-ID"/>
              </w:rPr>
            </w:pPr>
            <w:r>
              <w:rPr>
                <w:rFonts w:ascii="Bookman Old Style" w:hAnsi="Bookman Old Style"/>
                <w:sz w:val="20"/>
                <w:szCs w:val="20"/>
                <w:lang w:val="id-ID"/>
              </w:rPr>
              <w:t>Persentase ketersediaan sarana prasarana perdagangan</w:t>
            </w:r>
          </w:p>
          <w:p>
            <w:pPr>
              <w:pStyle w:val="13"/>
              <w:numPr>
                <w:numId w:val="0"/>
              </w:numPr>
              <w:spacing w:after="200" w:line="276" w:lineRule="auto"/>
              <w:contextualSpacing/>
              <w:rPr>
                <w:rFonts w:ascii="Bookman Old Style" w:hAnsi="Bookman Old Style"/>
                <w:sz w:val="20"/>
                <w:szCs w:val="20"/>
                <w:lang w:val="id-ID"/>
              </w:rPr>
            </w:pPr>
          </w:p>
          <w:p>
            <w:pPr>
              <w:pStyle w:val="13"/>
              <w:numPr>
                <w:numId w:val="0"/>
              </w:numPr>
              <w:spacing w:after="200" w:line="276" w:lineRule="auto"/>
              <w:contextualSpacing/>
              <w:rPr>
                <w:rFonts w:ascii="Bookman Old Style" w:hAnsi="Bookman Old Style"/>
                <w:sz w:val="20"/>
                <w:szCs w:val="20"/>
                <w:lang w:val="id-ID"/>
              </w:rPr>
            </w:pPr>
          </w:p>
          <w:p>
            <w:pPr>
              <w:pStyle w:val="13"/>
              <w:numPr>
                <w:ilvl w:val="0"/>
                <w:numId w:val="42"/>
              </w:numPr>
              <w:ind w:left="276" w:hanging="284"/>
              <w:rPr>
                <w:rFonts w:ascii="Bookman Old Style" w:hAnsi="Bookman Old Style"/>
                <w:sz w:val="20"/>
                <w:szCs w:val="20"/>
                <w:lang w:val="id-ID"/>
              </w:rPr>
            </w:pPr>
            <w:r>
              <w:rPr>
                <w:rFonts w:ascii="Bookman Old Style" w:hAnsi="Bookman Old Style"/>
                <w:sz w:val="20"/>
                <w:szCs w:val="20"/>
                <w:lang w:val="id-ID"/>
              </w:rPr>
              <w:t>Persentase alat UTTP bertanda tera sah yang berlaku</w:t>
            </w:r>
          </w:p>
          <w:p>
            <w:pPr>
              <w:pStyle w:val="13"/>
              <w:numPr>
                <w:numId w:val="0"/>
              </w:numPr>
              <w:spacing w:after="200" w:line="276" w:lineRule="auto"/>
              <w:contextualSpacing/>
              <w:rPr>
                <w:rFonts w:ascii="Bookman Old Style" w:hAnsi="Bookman Old Style"/>
                <w:sz w:val="20"/>
                <w:szCs w:val="20"/>
                <w:lang w:val="id-ID"/>
              </w:rPr>
            </w:pPr>
          </w:p>
          <w:p>
            <w:pPr>
              <w:pStyle w:val="13"/>
              <w:numPr>
                <w:ilvl w:val="0"/>
                <w:numId w:val="42"/>
              </w:numPr>
              <w:ind w:left="276" w:hanging="284"/>
              <w:rPr>
                <w:rFonts w:ascii="Bookman Old Style" w:hAnsi="Bookman Old Style"/>
                <w:sz w:val="20"/>
                <w:szCs w:val="20"/>
                <w:lang w:val="id-ID"/>
              </w:rPr>
            </w:pPr>
            <w:r>
              <w:rPr>
                <w:rFonts w:ascii="Bookman Old Style" w:hAnsi="Bookman Old Style"/>
                <w:sz w:val="20"/>
                <w:szCs w:val="20"/>
                <w:lang w:val="id-ID"/>
              </w:rPr>
              <w:t>Persentase produk lokal yang dipasarkan</w:t>
            </w:r>
          </w:p>
          <w:p>
            <w:pPr>
              <w:pStyle w:val="13"/>
              <w:numPr>
                <w:numId w:val="0"/>
              </w:numPr>
              <w:spacing w:after="200" w:line="276" w:lineRule="auto"/>
              <w:contextualSpacing/>
              <w:rPr>
                <w:rFonts w:ascii="Bookman Old Style" w:hAnsi="Bookman Old Style"/>
                <w:sz w:val="20"/>
                <w:szCs w:val="20"/>
                <w:lang w:val="id-ID"/>
              </w:rPr>
            </w:pPr>
          </w:p>
          <w:p>
            <w:pPr>
              <w:pStyle w:val="13"/>
              <w:numPr>
                <w:numId w:val="0"/>
              </w:numPr>
              <w:spacing w:after="200" w:line="276" w:lineRule="auto"/>
              <w:contextualSpacing/>
              <w:rPr>
                <w:rFonts w:ascii="Bookman Old Style" w:hAnsi="Bookman Old Style"/>
                <w:sz w:val="20"/>
                <w:szCs w:val="20"/>
                <w:lang w:val="id-ID"/>
              </w:rPr>
            </w:pPr>
          </w:p>
          <w:p>
            <w:pPr>
              <w:pStyle w:val="13"/>
              <w:numPr>
                <w:ilvl w:val="0"/>
                <w:numId w:val="42"/>
              </w:numPr>
              <w:ind w:left="276" w:hanging="284"/>
              <w:rPr>
                <w:rFonts w:ascii="Bookman Old Style" w:hAnsi="Bookman Old Style"/>
                <w:sz w:val="20"/>
                <w:szCs w:val="20"/>
                <w:lang w:val="id-ID"/>
              </w:rPr>
            </w:pPr>
            <w:r>
              <w:rPr>
                <w:rFonts w:ascii="Bookman Old Style" w:hAnsi="Bookman Old Style"/>
                <w:sz w:val="20"/>
                <w:szCs w:val="20"/>
                <w:lang w:val="id-ID"/>
              </w:rPr>
              <w:t>Cakupan bina kelompok Pedagang/Usaha informal</w:t>
            </w:r>
          </w:p>
          <w:p>
            <w:pPr>
              <w:pStyle w:val="13"/>
              <w:numPr>
                <w:numId w:val="0"/>
              </w:numPr>
              <w:spacing w:after="200" w:line="276" w:lineRule="auto"/>
              <w:contextualSpacing/>
              <w:rPr>
                <w:rFonts w:ascii="Bookman Old Style" w:hAnsi="Bookman Old Style"/>
                <w:sz w:val="20"/>
                <w:szCs w:val="20"/>
                <w:lang w:val="id-ID"/>
              </w:rPr>
            </w:pPr>
          </w:p>
          <w:p>
            <w:pPr>
              <w:pStyle w:val="13"/>
              <w:numPr>
                <w:ilvl w:val="0"/>
                <w:numId w:val="42"/>
              </w:numPr>
              <w:ind w:left="276" w:hanging="284"/>
              <w:rPr>
                <w:rFonts w:ascii="Bookman Old Style" w:hAnsi="Bookman Old Style"/>
                <w:sz w:val="20"/>
                <w:szCs w:val="20"/>
                <w:lang w:val="id-ID"/>
              </w:rPr>
            </w:pPr>
            <w:r>
              <w:rPr>
                <w:rFonts w:hint="default" w:ascii="Bookman Old Style" w:hAnsi="Bookman Old Style"/>
                <w:sz w:val="20"/>
                <w:szCs w:val="20"/>
                <w:lang w:val="en-US"/>
              </w:rPr>
              <w:t>Cakupan bina kelompok pengrajin</w:t>
            </w:r>
          </w:p>
        </w:tc>
        <w:tc>
          <w:tcPr>
            <w:tcW w:w="1215" w:type="dxa"/>
          </w:tcPr>
          <w:p>
            <w:pPr>
              <w:jc w:val="center"/>
              <w:rPr>
                <w:rFonts w:hint="default" w:ascii="Bookman Old Style" w:hAnsi="Bookman Old Style"/>
                <w:sz w:val="20"/>
                <w:szCs w:val="20"/>
                <w:lang w:val="en-US"/>
              </w:rPr>
            </w:pPr>
            <w:r>
              <w:rPr>
                <w:rFonts w:hint="default" w:ascii="Bookman Old Style" w:hAnsi="Bookman Old Style"/>
                <w:sz w:val="20"/>
                <w:szCs w:val="20"/>
                <w:lang w:val="en-US"/>
              </w:rPr>
              <w:t>60</w:t>
            </w:r>
          </w:p>
          <w:p>
            <w:pPr>
              <w:jc w:val="center"/>
              <w:rPr>
                <w:rFonts w:ascii="Bookman Old Style" w:hAnsi="Bookman Old Style"/>
                <w:sz w:val="20"/>
                <w:szCs w:val="20"/>
                <w:lang w:val="id-ID"/>
              </w:rPr>
            </w:pPr>
          </w:p>
          <w:p>
            <w:pPr>
              <w:jc w:val="center"/>
              <w:rPr>
                <w:rFonts w:ascii="Bookman Old Style" w:hAnsi="Bookman Old Style"/>
                <w:sz w:val="20"/>
                <w:szCs w:val="20"/>
                <w:lang w:val="id-ID"/>
              </w:rPr>
            </w:pPr>
          </w:p>
          <w:p>
            <w:pPr>
              <w:jc w:val="center"/>
              <w:rPr>
                <w:rFonts w:ascii="Bookman Old Style" w:hAnsi="Bookman Old Style"/>
                <w:sz w:val="20"/>
                <w:szCs w:val="20"/>
                <w:lang w:val="id-ID"/>
              </w:rPr>
            </w:pPr>
            <w:r>
              <w:rPr>
                <w:rFonts w:hint="default" w:ascii="Bookman Old Style" w:hAnsi="Bookman Old Style"/>
                <w:sz w:val="20"/>
                <w:szCs w:val="20"/>
                <w:lang w:val="en-US"/>
              </w:rPr>
              <w:t>6</w:t>
            </w:r>
            <w:r>
              <w:rPr>
                <w:rFonts w:ascii="Bookman Old Style" w:hAnsi="Bookman Old Style"/>
                <w:sz w:val="20"/>
                <w:szCs w:val="20"/>
                <w:lang w:val="id-ID"/>
              </w:rPr>
              <w:t>0</w:t>
            </w:r>
          </w:p>
          <w:p>
            <w:pPr>
              <w:jc w:val="center"/>
              <w:rPr>
                <w:rFonts w:ascii="Bookman Old Style" w:hAnsi="Bookman Old Style"/>
                <w:sz w:val="20"/>
                <w:szCs w:val="20"/>
                <w:lang w:val="id-ID"/>
              </w:rPr>
            </w:pPr>
          </w:p>
          <w:p>
            <w:pPr>
              <w:jc w:val="center"/>
              <w:rPr>
                <w:rFonts w:hint="default" w:ascii="Bookman Old Style" w:hAnsi="Bookman Old Style"/>
                <w:sz w:val="20"/>
                <w:szCs w:val="20"/>
                <w:lang w:val="en-US"/>
              </w:rPr>
            </w:pPr>
            <w:r>
              <w:rPr>
                <w:rFonts w:ascii="Bookman Old Style" w:hAnsi="Bookman Old Style"/>
                <w:sz w:val="20"/>
                <w:szCs w:val="20"/>
                <w:lang w:val="id-ID"/>
              </w:rPr>
              <w:t>1</w:t>
            </w:r>
            <w:r>
              <w:rPr>
                <w:rFonts w:hint="default" w:ascii="Bookman Old Style" w:hAnsi="Bookman Old Style"/>
                <w:sz w:val="20"/>
                <w:szCs w:val="20"/>
                <w:lang w:val="en-US"/>
              </w:rPr>
              <w:t>2,04</w:t>
            </w:r>
          </w:p>
          <w:p>
            <w:pPr>
              <w:jc w:val="center"/>
              <w:rPr>
                <w:rFonts w:ascii="Bookman Old Style" w:hAnsi="Bookman Old Style"/>
                <w:sz w:val="20"/>
                <w:szCs w:val="20"/>
                <w:lang w:val="id-ID"/>
              </w:rPr>
            </w:pPr>
          </w:p>
          <w:p>
            <w:pPr>
              <w:jc w:val="center"/>
              <w:rPr>
                <w:rFonts w:hint="default" w:ascii="Bookman Old Style" w:hAnsi="Bookman Old Style"/>
                <w:sz w:val="20"/>
                <w:szCs w:val="20"/>
                <w:lang w:val="en-US"/>
              </w:rPr>
            </w:pPr>
            <w:r>
              <w:rPr>
                <w:rFonts w:hint="default" w:ascii="Bookman Old Style" w:hAnsi="Bookman Old Style"/>
                <w:sz w:val="20"/>
                <w:szCs w:val="20"/>
                <w:lang w:val="en-US"/>
              </w:rPr>
              <w:t>60</w:t>
            </w:r>
          </w:p>
          <w:p>
            <w:pPr>
              <w:jc w:val="center"/>
              <w:rPr>
                <w:rFonts w:hint="default" w:ascii="Bookman Old Style" w:hAnsi="Bookman Old Style"/>
                <w:sz w:val="20"/>
                <w:szCs w:val="20"/>
                <w:lang w:val="en-US"/>
              </w:rPr>
            </w:pPr>
          </w:p>
          <w:p>
            <w:pPr>
              <w:jc w:val="center"/>
              <w:rPr>
                <w:rFonts w:ascii="Bookman Old Style" w:hAnsi="Bookman Old Style"/>
                <w:sz w:val="20"/>
                <w:szCs w:val="20"/>
                <w:lang w:val="id-ID"/>
              </w:rPr>
            </w:pPr>
            <w:r>
              <w:rPr>
                <w:rFonts w:hint="default" w:ascii="Bookman Old Style" w:hAnsi="Bookman Old Style"/>
                <w:sz w:val="20"/>
                <w:szCs w:val="20"/>
                <w:lang w:val="en-US"/>
              </w:rPr>
              <w:t>6</w:t>
            </w:r>
            <w:r>
              <w:rPr>
                <w:rFonts w:ascii="Bookman Old Style" w:hAnsi="Bookman Old Style"/>
                <w:sz w:val="20"/>
                <w:szCs w:val="20"/>
                <w:lang w:val="id-ID"/>
              </w:rPr>
              <w:t>0</w:t>
            </w:r>
          </w:p>
          <w:p>
            <w:pPr>
              <w:jc w:val="center"/>
              <w:rPr>
                <w:rFonts w:ascii="Bookman Old Style" w:hAnsi="Bookman Old Style"/>
                <w:sz w:val="20"/>
                <w:szCs w:val="20"/>
                <w:lang w:val="id-ID"/>
              </w:rPr>
            </w:pPr>
          </w:p>
          <w:p>
            <w:pPr>
              <w:jc w:val="center"/>
              <w:rPr>
                <w:rFonts w:hint="default" w:ascii="Bookman Old Style" w:hAnsi="Bookman Old Style"/>
                <w:sz w:val="20"/>
                <w:szCs w:val="20"/>
                <w:lang w:val="en-US"/>
              </w:rPr>
            </w:pPr>
            <w:r>
              <w:rPr>
                <w:rFonts w:ascii="Bookman Old Style" w:hAnsi="Bookman Old Style"/>
                <w:sz w:val="20"/>
                <w:szCs w:val="20"/>
                <w:lang w:val="id-ID"/>
              </w:rPr>
              <w:t>100</w:t>
            </w:r>
            <w:r>
              <w:rPr>
                <w:rFonts w:hint="default" w:ascii="Bookman Old Style" w:hAnsi="Bookman Old Style"/>
                <w:sz w:val="20"/>
                <w:szCs w:val="20"/>
                <w:lang w:val="en-US"/>
              </w:rPr>
              <w:t>,9</w:t>
            </w:r>
          </w:p>
        </w:tc>
      </w:tr>
    </w:tbl>
    <w:p>
      <w:pPr>
        <w:spacing w:after="0" w:line="360" w:lineRule="auto"/>
        <w:jc w:val="both"/>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both"/>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r>
        <w:rPr>
          <w:rFonts w:hint="default" w:ascii="Cambria" w:hAnsi="Cambria" w:cs="Cambria"/>
          <w:b/>
          <w:bCs/>
          <w:sz w:val="24"/>
          <w:szCs w:val="24"/>
        </w:rPr>
        <w:t>BAB III</w:t>
      </w:r>
    </w:p>
    <w:p>
      <w:pPr>
        <w:spacing w:after="0" w:line="360" w:lineRule="auto"/>
        <w:jc w:val="center"/>
        <w:rPr>
          <w:rFonts w:hint="default" w:ascii="Cambria" w:hAnsi="Cambria" w:cs="Cambria"/>
          <w:b/>
          <w:bCs/>
          <w:sz w:val="24"/>
          <w:szCs w:val="24"/>
        </w:rPr>
      </w:pPr>
      <w:r>
        <w:rPr>
          <w:rFonts w:hint="default" w:ascii="Cambria" w:hAnsi="Cambria" w:cs="Cambria"/>
          <w:b/>
          <w:bCs/>
          <w:sz w:val="24"/>
          <w:szCs w:val="24"/>
        </w:rPr>
        <w:t>AKUNTABILITAS KINERJA</w:t>
      </w:r>
    </w:p>
    <w:p>
      <w:pPr>
        <w:spacing w:after="0" w:line="360" w:lineRule="auto"/>
        <w:jc w:val="center"/>
        <w:rPr>
          <w:rFonts w:hint="default" w:ascii="Cambria" w:hAnsi="Cambria" w:cs="Cambria"/>
          <w:b/>
          <w:bCs/>
          <w:sz w:val="24"/>
          <w:szCs w:val="24"/>
        </w:rPr>
      </w:pPr>
    </w:p>
    <w:p>
      <w:pPr>
        <w:spacing w:after="0" w:line="360" w:lineRule="auto"/>
        <w:ind w:firstLine="1418"/>
        <w:jc w:val="both"/>
        <w:rPr>
          <w:rFonts w:hint="default" w:ascii="Cambria" w:hAnsi="Cambria" w:cs="Cambria"/>
          <w:sz w:val="24"/>
          <w:szCs w:val="24"/>
        </w:rPr>
      </w:pPr>
      <w:r>
        <w:rPr>
          <w:rFonts w:hint="default" w:ascii="Cambria" w:hAnsi="Cambria" w:cs="Cambria"/>
          <w:sz w:val="24"/>
          <w:szCs w:val="24"/>
        </w:rPr>
        <w:t>Pada Bab III ini disajikan pencapaian kinerja pelaksanaan program dan kegiatan selam</w:t>
      </w:r>
      <w:r>
        <w:rPr>
          <w:rFonts w:hint="default" w:ascii="Cambria" w:hAnsi="Cambria" w:cs="Cambria"/>
          <w:color w:val="auto"/>
          <w:sz w:val="24"/>
          <w:szCs w:val="24"/>
        </w:rPr>
        <w:t>a tahun 2022, ses</w:t>
      </w:r>
      <w:r>
        <w:rPr>
          <w:rFonts w:hint="default" w:ascii="Cambria" w:hAnsi="Cambria" w:cs="Cambria"/>
          <w:sz w:val="24"/>
          <w:szCs w:val="24"/>
        </w:rPr>
        <w:t>uai dengan perjanjian kinerja yang ditetapkan oleh Bupati Kepulauan Selayar berupa Dokumen Penetapan Kinerja Pemerintah Kabupaten Kepulauan Selayar, Indikator Kinerja Utama (IKU) dan Rencana Kerja Pemerintah Daerah tentang prioritas dan sasaran Pembangunan Daerah Tahun 2022 serta dalam rangka mewujudkan Pemerintahan yang efektif, transparan, akuntabel dan berorientasi pada hasil, secara umum Pemerintah Kabupaten Kepulauan Selayar telah dapat melaksanakan tugas dengan baik dalam rangka mencapai tujuan dan sasaran tersebut.</w:t>
      </w:r>
    </w:p>
    <w:p>
      <w:pPr>
        <w:spacing w:after="0" w:line="360" w:lineRule="auto"/>
        <w:ind w:firstLine="1418"/>
        <w:jc w:val="both"/>
        <w:rPr>
          <w:rFonts w:hint="default" w:ascii="Cambria" w:hAnsi="Cambria" w:cs="Cambria"/>
          <w:sz w:val="24"/>
          <w:szCs w:val="24"/>
        </w:rPr>
      </w:pPr>
      <w:r>
        <w:rPr>
          <w:rFonts w:hint="default" w:ascii="Cambria" w:hAnsi="Cambria" w:cs="Cambria"/>
          <w:sz w:val="24"/>
          <w:szCs w:val="24"/>
        </w:rPr>
        <w:t>Laporan ini, memberikan gambaran penilaian tingkat pencapaian target sasaran dari masing-masing kelompok indikator kinerja sasaran, dan penilaian tingkat pencapaian target sasaran dari masing-masing indikator kinerja sasaran yang ditetapkan dalam dokumen RPJMD 2021-2026. Pengukuran kinerja digunakan untuk menilai keberhasilan dan kegagalan pelaksanaan kegiatan sesuai dengan sasaran yang telah ditetapkan dalam mewujudkan misi dan visi instansi pemerintah.</w:t>
      </w:r>
    </w:p>
    <w:p>
      <w:pPr>
        <w:spacing w:after="0" w:line="360" w:lineRule="auto"/>
        <w:ind w:firstLine="1418"/>
        <w:jc w:val="both"/>
        <w:rPr>
          <w:rFonts w:hint="default" w:ascii="Cambria" w:hAnsi="Cambria" w:cs="Cambria"/>
          <w:sz w:val="24"/>
          <w:szCs w:val="24"/>
        </w:rPr>
      </w:pPr>
      <w:r>
        <w:rPr>
          <w:rFonts w:hint="default" w:ascii="Cambria" w:hAnsi="Cambria" w:cs="Cambria"/>
          <w:sz w:val="24"/>
          <w:szCs w:val="24"/>
        </w:rPr>
        <w:t>Pada Tahun Anggaran 2022, Dinas Perindustrian, Perdagangan, Koperasi Usaha Kecil dan Menengah Kabupaten Kepulauan Selayar menangani 2 urusan, 1 Urusan wajib yakni Urusan Koperasi Usaha Kecil Menengah dan 2 urusan pilihan yakni urusan Perindustrian dan Urusan Perdagangan.</w:t>
      </w:r>
    </w:p>
    <w:p>
      <w:pPr>
        <w:spacing w:after="0" w:line="360" w:lineRule="auto"/>
        <w:ind w:firstLine="1418"/>
        <w:jc w:val="both"/>
        <w:rPr>
          <w:rFonts w:hint="default" w:ascii="Cambria" w:hAnsi="Cambria" w:cs="Cambria"/>
          <w:sz w:val="24"/>
          <w:szCs w:val="24"/>
        </w:rPr>
      </w:pPr>
      <w:r>
        <w:rPr>
          <w:rFonts w:hint="default" w:ascii="Cambria" w:hAnsi="Cambria" w:cs="Cambria"/>
          <w:sz w:val="24"/>
          <w:szCs w:val="24"/>
        </w:rPr>
        <w:t>Menetapkan sasaran strategis yaitu Meningkatnya Kinerja Pembangunan Sektor Perindustrian, Meningkatnya Skala Usaha Sektor Perdagangan, Meningkatnya Penguatan Kinerja Pengujian dan Sertifikasi Mutu Barang, Kemetrologian serta Pengawasan Barang dan Jasa Beredar, Meningkatnya Kualitas Kelembagaan, Daya Saing dan Kemandirian Koperasi, dan Meningkatnya Kualitas UMKM . Untuk mencapai sasaran strategis tersebut dibutuhkan 9 Indikator Kinerja. Realisasi sampai dengan akhir Tahun 2022 menunjukan indikator telah dicapai dengan hasil yang “baik”.</w:t>
      </w:r>
    </w:p>
    <w:p>
      <w:pPr>
        <w:spacing w:after="0" w:line="360" w:lineRule="auto"/>
        <w:ind w:firstLine="1418"/>
        <w:jc w:val="both"/>
        <w:rPr>
          <w:rFonts w:hint="default" w:ascii="Cambria" w:hAnsi="Cambria" w:cs="Cambria"/>
          <w:sz w:val="24"/>
          <w:szCs w:val="24"/>
        </w:rPr>
      </w:pPr>
    </w:p>
    <w:p>
      <w:pPr>
        <w:pStyle w:val="13"/>
        <w:numPr>
          <w:ilvl w:val="5"/>
          <w:numId w:val="34"/>
        </w:numPr>
        <w:spacing w:after="0" w:line="360" w:lineRule="auto"/>
        <w:ind w:left="426" w:hanging="426"/>
        <w:rPr>
          <w:rFonts w:hint="default" w:ascii="Cambria" w:hAnsi="Cambria" w:cs="Cambria"/>
          <w:b/>
          <w:sz w:val="24"/>
          <w:szCs w:val="24"/>
        </w:rPr>
      </w:pPr>
      <w:r>
        <w:rPr>
          <w:rFonts w:hint="default" w:ascii="Cambria" w:hAnsi="Cambria" w:cs="Cambria"/>
          <w:b/>
          <w:sz w:val="24"/>
          <w:szCs w:val="24"/>
        </w:rPr>
        <w:t>PENGUKURAN KINERJA</w:t>
      </w:r>
    </w:p>
    <w:p>
      <w:pPr>
        <w:pStyle w:val="13"/>
        <w:spacing w:after="0" w:line="360" w:lineRule="auto"/>
        <w:ind w:left="426" w:firstLine="992"/>
        <w:jc w:val="both"/>
        <w:rPr>
          <w:rFonts w:hint="default" w:ascii="Cambria" w:hAnsi="Cambria" w:cs="Cambria"/>
          <w:sz w:val="24"/>
          <w:szCs w:val="24"/>
        </w:rPr>
      </w:pPr>
      <w:r>
        <w:rPr>
          <w:rFonts w:hint="default" w:ascii="Cambria" w:hAnsi="Cambria" w:cs="Cambria"/>
          <w:sz w:val="24"/>
          <w:szCs w:val="24"/>
        </w:rPr>
        <w:t>Dalam menilai keberhasilan pelaksanaan kinerja organisasi maka perlu dilakukan pengukuran kinerja secara berkala terhadap Indikator Kinerja Utama (IKU) dan Rencana Kinerja Tahunan (RKT) tahun 2022 yang telah ditetapkan dalam rangka menjamin adanya peningkatan dalam pelayanan publik dan meningkatkan akuntabilitas dengan melakukan klarifikasi output dan outcome yang akan dan seharusnya dicapai untuk memudahkan terwujudnya organisasi yang akuntabel.</w:t>
      </w:r>
      <w:r>
        <w:rPr>
          <w:rFonts w:hint="default" w:ascii="Cambria" w:hAnsi="Cambria" w:cs="Cambria"/>
          <w:sz w:val="24"/>
          <w:szCs w:val="24"/>
          <w:lang w:val="fi-FI"/>
        </w:rPr>
        <w:t xml:space="preserve"> </w:t>
      </w:r>
      <w:r>
        <w:rPr>
          <w:rFonts w:hint="default" w:ascii="Cambria" w:hAnsi="Cambria" w:cs="Cambria"/>
          <w:sz w:val="24"/>
          <w:szCs w:val="24"/>
        </w:rPr>
        <w:t>Adapun dokumen pengukuran kinerja triwulan dan tahunan</w:t>
      </w:r>
      <w:r>
        <w:rPr>
          <w:rFonts w:hint="default" w:ascii="Cambria" w:hAnsi="Cambria" w:cs="Cambria"/>
          <w:color w:val="FF0000"/>
          <w:sz w:val="24"/>
          <w:szCs w:val="24"/>
        </w:rPr>
        <w:t xml:space="preserve"> </w:t>
      </w:r>
      <w:r>
        <w:rPr>
          <w:rFonts w:hint="default" w:ascii="Cambria" w:hAnsi="Cambria" w:cs="Cambria"/>
          <w:sz w:val="24"/>
          <w:szCs w:val="24"/>
        </w:rPr>
        <w:t>sebagai barikut :</w:t>
      </w:r>
    </w:p>
    <w:p>
      <w:pPr>
        <w:pStyle w:val="13"/>
        <w:spacing w:after="0" w:line="360" w:lineRule="auto"/>
        <w:ind w:left="426" w:firstLine="992"/>
        <w:jc w:val="both"/>
        <w:rPr>
          <w:rFonts w:hint="default" w:ascii="Cambria" w:hAnsi="Cambria" w:cs="Cambria"/>
          <w:b/>
          <w:sz w:val="24"/>
          <w:szCs w:val="24"/>
        </w:rPr>
      </w:pPr>
    </w:p>
    <w:p>
      <w:pPr>
        <w:pStyle w:val="19"/>
        <w:tabs>
          <w:tab w:val="left" w:pos="1276"/>
          <w:tab w:val="left" w:pos="1701"/>
        </w:tabs>
        <w:spacing w:line="360" w:lineRule="auto"/>
        <w:jc w:val="center"/>
        <w:rPr>
          <w:rFonts w:hint="default" w:ascii="Cambria" w:hAnsi="Cambria" w:cs="Cambria"/>
          <w:sz w:val="24"/>
          <w:szCs w:val="24"/>
          <w:lang w:eastAsia="en-US"/>
        </w:rPr>
      </w:pPr>
      <w:r>
        <w:rPr>
          <w:rFonts w:hint="default" w:ascii="Cambria" w:hAnsi="Cambria" w:cs="Cambria"/>
          <w:sz w:val="24"/>
          <w:szCs w:val="24"/>
          <w:lang w:eastAsia="en-US"/>
        </w:rPr>
        <w:t>Tabel 3.1.1</w:t>
      </w:r>
    </w:p>
    <w:p>
      <w:pPr>
        <w:spacing w:after="0" w:line="360" w:lineRule="auto"/>
        <w:jc w:val="center"/>
        <w:rPr>
          <w:rFonts w:hint="default" w:ascii="Cambria" w:hAnsi="Cambria" w:cs="Cambria"/>
          <w:sz w:val="24"/>
          <w:szCs w:val="24"/>
        </w:rPr>
      </w:pPr>
      <w:r>
        <w:rPr>
          <w:rFonts w:hint="default" w:ascii="Cambria" w:hAnsi="Cambria" w:cs="Cambria"/>
          <w:sz w:val="24"/>
          <w:szCs w:val="24"/>
        </w:rPr>
        <w:t>Hasil terhadap pengukuran kinerja</w:t>
      </w: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b/>
          <w:sz w:val="24"/>
          <w:szCs w:val="24"/>
        </w:rPr>
      </w:pPr>
      <w:r>
        <w:rPr>
          <w:rFonts w:hint="default" w:ascii="Cambria" w:hAnsi="Cambria" w:cs="Cambria"/>
          <w:sz w:val="24"/>
          <w:szCs w:val="24"/>
        </w:rPr>
        <w:drawing>
          <wp:inline distT="0" distB="0" distL="0" distR="0">
            <wp:extent cx="5040630" cy="2940050"/>
            <wp:effectExtent l="0" t="0" r="26670" b="12700"/>
            <wp:docPr id="263" name="Chart 26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spacing w:after="0" w:line="360" w:lineRule="auto"/>
        <w:rPr>
          <w:rFonts w:hint="default" w:ascii="Cambria" w:hAnsi="Cambria" w:cs="Cambria"/>
          <w:b/>
          <w:sz w:val="24"/>
          <w:szCs w:val="24"/>
        </w:rPr>
      </w:pPr>
    </w:p>
    <w:p>
      <w:pPr>
        <w:spacing w:after="0" w:line="360" w:lineRule="auto"/>
        <w:rPr>
          <w:rFonts w:hint="default" w:ascii="Cambria" w:hAnsi="Cambria" w:cs="Cambria"/>
          <w:b/>
          <w:sz w:val="24"/>
          <w:szCs w:val="24"/>
        </w:rPr>
      </w:pPr>
    </w:p>
    <w:p>
      <w:pPr>
        <w:spacing w:after="0" w:line="360" w:lineRule="auto"/>
        <w:rPr>
          <w:rFonts w:hint="default" w:ascii="Cambria" w:hAnsi="Cambria" w:cs="Cambria"/>
          <w:b/>
          <w:sz w:val="24"/>
          <w:szCs w:val="24"/>
        </w:rPr>
      </w:pPr>
    </w:p>
    <w:p>
      <w:pPr>
        <w:pStyle w:val="13"/>
        <w:numPr>
          <w:ilvl w:val="5"/>
          <w:numId w:val="34"/>
        </w:numPr>
        <w:spacing w:after="0" w:line="360" w:lineRule="auto"/>
        <w:ind w:left="426" w:hanging="426"/>
        <w:rPr>
          <w:rFonts w:hint="default" w:ascii="Cambria" w:hAnsi="Cambria" w:cs="Cambria"/>
          <w:b/>
          <w:sz w:val="24"/>
          <w:szCs w:val="24"/>
        </w:rPr>
      </w:pPr>
      <w:r>
        <w:rPr>
          <w:rFonts w:hint="default" w:ascii="Cambria" w:hAnsi="Cambria" w:cs="Cambria"/>
          <w:b/>
          <w:sz w:val="24"/>
          <w:szCs w:val="24"/>
        </w:rPr>
        <w:t>ANALISIS CAPAIAN KINERJA</w:t>
      </w:r>
    </w:p>
    <w:p>
      <w:pPr>
        <w:pStyle w:val="13"/>
        <w:spacing w:after="0" w:line="360" w:lineRule="auto"/>
        <w:ind w:left="426" w:firstLine="992"/>
        <w:jc w:val="both"/>
        <w:rPr>
          <w:rFonts w:hint="default" w:ascii="Cambria" w:hAnsi="Cambria" w:cs="Cambria"/>
          <w:sz w:val="24"/>
          <w:szCs w:val="24"/>
        </w:rPr>
      </w:pPr>
      <w:r>
        <w:rPr>
          <w:rFonts w:hint="default" w:ascii="Cambria" w:hAnsi="Cambria" w:cs="Cambria"/>
          <w:sz w:val="24"/>
          <w:szCs w:val="24"/>
        </w:rPr>
        <w:t>Evaluasi terhadap capaian-capaian kinerja merupakan sebuah tuntutan mengingat pesatnya dinamika masyarakat yang berdampak pada tuntutan akan penyediaan layanan oleh pemerintah yang semakin berkualitas, melalui pelaksanaan evaluasi kinerja yang digunakan secara periodik akan membantu sebuah organisasi dalam hal ini Dinas Perindustrian,Perdagangan, Koperasi Usaha Kecil dan Menengah Kabupaten Kepulauan Selayar dalam menyelesaikan permasalahan-permasalahan yang dihadapi.</w:t>
      </w:r>
    </w:p>
    <w:p>
      <w:pPr>
        <w:pStyle w:val="13"/>
        <w:spacing w:after="0" w:line="360" w:lineRule="auto"/>
        <w:ind w:left="426" w:firstLine="992"/>
        <w:jc w:val="both"/>
        <w:rPr>
          <w:rFonts w:hint="default" w:ascii="Cambria" w:hAnsi="Cambria" w:cs="Cambria"/>
          <w:sz w:val="24"/>
          <w:szCs w:val="24"/>
        </w:rPr>
      </w:pPr>
    </w:p>
    <w:p>
      <w:pPr>
        <w:pStyle w:val="13"/>
        <w:numPr>
          <w:ilvl w:val="0"/>
          <w:numId w:val="43"/>
        </w:numPr>
        <w:spacing w:after="0" w:line="360" w:lineRule="auto"/>
        <w:ind w:left="851" w:hanging="425"/>
        <w:jc w:val="both"/>
        <w:rPr>
          <w:rFonts w:hint="default" w:ascii="Cambria" w:hAnsi="Cambria" w:cs="Cambria"/>
          <w:b/>
          <w:sz w:val="24"/>
          <w:szCs w:val="24"/>
        </w:rPr>
      </w:pPr>
      <w:r>
        <w:rPr>
          <w:rFonts w:hint="default" w:ascii="Cambria" w:hAnsi="Cambria" w:cs="Cambria"/>
          <w:b/>
          <w:sz w:val="24"/>
          <w:szCs w:val="24"/>
        </w:rPr>
        <w:t>Target dan Realisasi Kinerja</w:t>
      </w:r>
    </w:p>
    <w:p>
      <w:pPr>
        <w:pStyle w:val="13"/>
        <w:spacing w:after="0" w:line="360" w:lineRule="auto"/>
        <w:ind w:left="851" w:firstLine="850"/>
        <w:jc w:val="both"/>
        <w:rPr>
          <w:rFonts w:hint="default" w:ascii="Cambria" w:hAnsi="Cambria" w:cs="Cambria"/>
          <w:b/>
          <w:sz w:val="24"/>
          <w:szCs w:val="24"/>
        </w:rPr>
      </w:pPr>
      <w:r>
        <w:rPr>
          <w:rFonts w:hint="default" w:ascii="Cambria" w:hAnsi="Cambria" w:cs="Cambria"/>
          <w:sz w:val="24"/>
          <w:szCs w:val="24"/>
        </w:rPr>
        <w:t>Dari Indikator-Indikator Kinerja Utama Dinas Perindustrian, Perdagangan, Koperasi Usaha Kecil dan Menengah menunjukkan rata-rata capaian realisasi di rinci pada tabel berikut :</w:t>
      </w:r>
    </w:p>
    <w:p>
      <w:pPr>
        <w:pStyle w:val="19"/>
        <w:tabs>
          <w:tab w:val="left" w:pos="1276"/>
          <w:tab w:val="left" w:pos="1701"/>
        </w:tabs>
        <w:spacing w:line="360" w:lineRule="auto"/>
        <w:jc w:val="center"/>
        <w:rPr>
          <w:rFonts w:hint="default" w:ascii="Cambria" w:hAnsi="Cambria" w:cs="Cambria"/>
          <w:sz w:val="24"/>
          <w:szCs w:val="24"/>
        </w:rPr>
      </w:pPr>
      <w:r>
        <w:rPr>
          <w:rFonts w:hint="default" w:ascii="Cambria" w:hAnsi="Cambria" w:cs="Cambria"/>
          <w:sz w:val="24"/>
          <w:szCs w:val="24"/>
        </w:rPr>
        <w:t>Tabel 3.2.1</w:t>
      </w:r>
    </w:p>
    <w:p>
      <w:pPr>
        <w:spacing w:after="0" w:line="360" w:lineRule="auto"/>
        <w:jc w:val="center"/>
        <w:rPr>
          <w:rFonts w:hint="default" w:ascii="Cambria" w:hAnsi="Cambria" w:cs="Cambria"/>
          <w:sz w:val="24"/>
          <w:szCs w:val="24"/>
        </w:rPr>
      </w:pPr>
      <w:r>
        <w:rPr>
          <w:rFonts w:hint="default" w:ascii="Cambria" w:hAnsi="Cambria" w:cs="Cambria"/>
          <w:sz w:val="24"/>
          <w:szCs w:val="24"/>
        </w:rPr>
        <w:t>Target dan Realisasi Kinerja</w:t>
      </w:r>
    </w:p>
    <w:tbl>
      <w:tblPr>
        <w:tblStyle w:val="3"/>
        <w:tblW w:w="8080" w:type="dxa"/>
        <w:tblInd w:w="0" w:type="dxa"/>
        <w:tblLayout w:type="autofit"/>
        <w:tblCellMar>
          <w:top w:w="0" w:type="dxa"/>
          <w:left w:w="108" w:type="dxa"/>
          <w:bottom w:w="0" w:type="dxa"/>
          <w:right w:w="108" w:type="dxa"/>
        </w:tblCellMar>
      </w:tblPr>
      <w:tblGrid>
        <w:gridCol w:w="612"/>
        <w:gridCol w:w="425"/>
        <w:gridCol w:w="3481"/>
        <w:gridCol w:w="975"/>
        <w:gridCol w:w="1131"/>
        <w:gridCol w:w="1456"/>
      </w:tblGrid>
      <w:tr>
        <w:tblPrEx>
          <w:tblCellMar>
            <w:top w:w="0" w:type="dxa"/>
            <w:left w:w="108" w:type="dxa"/>
            <w:bottom w:w="0" w:type="dxa"/>
            <w:right w:w="108" w:type="dxa"/>
          </w:tblCellMar>
        </w:tblPrEx>
        <w:trPr>
          <w:trHeight w:val="795" w:hRule="atLeast"/>
        </w:trPr>
        <w:tc>
          <w:tcPr>
            <w:tcW w:w="612" w:type="dxa"/>
            <w:tcBorders>
              <w:top w:val="single" w:color="auto" w:sz="8" w:space="0"/>
              <w:left w:val="single" w:color="auto" w:sz="8" w:space="0"/>
              <w:bottom w:val="single" w:color="auto" w:sz="8" w:space="0"/>
              <w:right w:val="single" w:color="auto" w:sz="8" w:space="0"/>
            </w:tcBorders>
            <w:shd w:val="clear" w:color="auto" w:fill="92D050"/>
            <w:noWrap/>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NO</w:t>
            </w:r>
          </w:p>
        </w:tc>
        <w:tc>
          <w:tcPr>
            <w:tcW w:w="3906" w:type="dxa"/>
            <w:gridSpan w:val="2"/>
            <w:tcBorders>
              <w:top w:val="single" w:color="auto" w:sz="8" w:space="0"/>
              <w:left w:val="nil"/>
              <w:bottom w:val="single" w:color="auto" w:sz="8" w:space="0"/>
              <w:right w:val="single" w:color="000000"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xml:space="preserve">Indikator Kinerja Utama </w:t>
            </w:r>
          </w:p>
        </w:tc>
        <w:tc>
          <w:tcPr>
            <w:tcW w:w="975" w:type="dxa"/>
            <w:tcBorders>
              <w:top w:val="single" w:color="auto" w:sz="8" w:space="0"/>
              <w:left w:val="nil"/>
              <w:bottom w:val="single" w:color="auto" w:sz="8" w:space="0"/>
              <w:right w:val="nil"/>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Target Th. 2022</w:t>
            </w:r>
          </w:p>
        </w:tc>
        <w:tc>
          <w:tcPr>
            <w:tcW w:w="1131" w:type="dxa"/>
            <w:tcBorders>
              <w:top w:val="single" w:color="auto" w:sz="8" w:space="0"/>
              <w:left w:val="single" w:color="auto" w:sz="8" w:space="0"/>
              <w:bottom w:val="single" w:color="auto" w:sz="8" w:space="0"/>
              <w:right w:val="single" w:color="auto"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Realisasi Th. 2022</w:t>
            </w:r>
          </w:p>
        </w:tc>
        <w:tc>
          <w:tcPr>
            <w:tcW w:w="1456" w:type="dxa"/>
            <w:tcBorders>
              <w:top w:val="single" w:color="auto" w:sz="8" w:space="0"/>
              <w:left w:val="nil"/>
              <w:bottom w:val="single" w:color="auto" w:sz="8" w:space="0"/>
              <w:right w:val="single" w:color="auto"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CapaianTh. 2022</w:t>
            </w:r>
          </w:p>
        </w:tc>
      </w:tr>
      <w:tr>
        <w:tblPrEx>
          <w:tblCellMar>
            <w:top w:w="0" w:type="dxa"/>
            <w:left w:w="108" w:type="dxa"/>
            <w:bottom w:w="0" w:type="dxa"/>
            <w:right w:w="108" w:type="dxa"/>
          </w:tblCellMar>
        </w:tblPrEx>
        <w:trPr>
          <w:trHeight w:val="675" w:hRule="atLeast"/>
        </w:trPr>
        <w:tc>
          <w:tcPr>
            <w:tcW w:w="612" w:type="dxa"/>
            <w:tcBorders>
              <w:top w:val="nil"/>
              <w:left w:val="single" w:color="auto" w:sz="8" w:space="0"/>
              <w:bottom w:val="nil"/>
              <w:right w:val="single" w:color="auto" w:sz="8" w:space="0"/>
            </w:tcBorders>
            <w:shd w:val="clear" w:color="auto" w:fill="auto"/>
            <w:noWrap/>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I.</w:t>
            </w:r>
          </w:p>
        </w:tc>
        <w:tc>
          <w:tcPr>
            <w:tcW w:w="3906" w:type="dxa"/>
            <w:gridSpan w:val="2"/>
            <w:tcBorders>
              <w:top w:val="single" w:color="auto" w:sz="8" w:space="0"/>
              <w:left w:val="nil"/>
              <w:bottom w:val="single" w:color="auto" w:sz="8" w:space="0"/>
              <w:right w:val="single" w:color="000000"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Meningkatnya Kinerja Pembangunan Sektor Perindustrian </w:t>
            </w:r>
          </w:p>
        </w:tc>
        <w:tc>
          <w:tcPr>
            <w:tcW w:w="975" w:type="dxa"/>
            <w:tcBorders>
              <w:top w:val="nil"/>
              <w:left w:val="nil"/>
              <w:bottom w:val="single" w:color="auto" w:sz="8" w:space="0"/>
              <w:right w:val="nil"/>
            </w:tcBorders>
            <w:shd w:val="clear" w:color="auto" w:fill="auto"/>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w:t>
            </w:r>
          </w:p>
        </w:tc>
        <w:tc>
          <w:tcPr>
            <w:tcW w:w="1131" w:type="dxa"/>
            <w:tcBorders>
              <w:top w:val="nil"/>
              <w:left w:val="single" w:color="auto" w:sz="8" w:space="0"/>
              <w:bottom w:val="single" w:color="auto" w:sz="8" w:space="0"/>
              <w:right w:val="single" w:color="auto" w:sz="8" w:space="0"/>
            </w:tcBorders>
            <w:shd w:val="clear" w:color="auto" w:fill="auto"/>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w:t>
            </w:r>
          </w:p>
        </w:tc>
        <w:tc>
          <w:tcPr>
            <w:tcW w:w="1456"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w:t>
            </w:r>
          </w:p>
        </w:tc>
      </w:tr>
      <w:tr>
        <w:tblPrEx>
          <w:tblCellMar>
            <w:top w:w="0" w:type="dxa"/>
            <w:left w:w="108" w:type="dxa"/>
            <w:bottom w:w="0" w:type="dxa"/>
            <w:right w:w="108" w:type="dxa"/>
          </w:tblCellMar>
        </w:tblPrEx>
        <w:trPr>
          <w:trHeight w:val="265" w:hRule="atLeast"/>
        </w:trPr>
        <w:tc>
          <w:tcPr>
            <w:tcW w:w="612"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a.</w:t>
            </w:r>
          </w:p>
        </w:tc>
        <w:tc>
          <w:tcPr>
            <w:tcW w:w="3481"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Pertumbuhan Sektor Industri</w:t>
            </w:r>
          </w:p>
        </w:tc>
        <w:tc>
          <w:tcPr>
            <w:tcW w:w="97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25 IKM</w:t>
            </w:r>
          </w:p>
        </w:tc>
        <w:tc>
          <w:tcPr>
            <w:tcW w:w="1131"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25 IKM</w:t>
            </w:r>
          </w:p>
        </w:tc>
        <w:tc>
          <w:tcPr>
            <w:tcW w:w="145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553"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b.</w:t>
            </w:r>
          </w:p>
        </w:tc>
        <w:tc>
          <w:tcPr>
            <w:tcW w:w="3481"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peningkatan unit usaha industri unggulan daerah</w:t>
            </w:r>
          </w:p>
        </w:tc>
        <w:tc>
          <w:tcPr>
            <w:tcW w:w="97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51 IKM</w:t>
            </w:r>
          </w:p>
        </w:tc>
        <w:tc>
          <w:tcPr>
            <w:tcW w:w="1131" w:type="dxa"/>
            <w:tcBorders>
              <w:top w:val="nil"/>
              <w:left w:val="nil"/>
              <w:bottom w:val="single" w:color="auto" w:sz="8" w:space="0"/>
              <w:right w:val="single" w:color="auto" w:sz="8" w:space="0"/>
            </w:tcBorders>
            <w:shd w:val="clear" w:color="auto" w:fill="auto"/>
            <w:vAlign w:val="center"/>
          </w:tcPr>
          <w:p>
            <w:pPr>
              <w:spacing w:after="0"/>
              <w:jc w:val="both"/>
              <w:rPr>
                <w:rFonts w:hint="default" w:ascii="Cambria" w:hAnsi="Cambria" w:cs="Cambria"/>
                <w:color w:val="000000"/>
                <w:sz w:val="20"/>
                <w:szCs w:val="20"/>
                <w:lang w:val="en-US"/>
              </w:rPr>
            </w:pPr>
            <w:r>
              <w:rPr>
                <w:rFonts w:hint="default" w:ascii="Cambria" w:hAnsi="Cambria" w:cs="Cambria"/>
                <w:color w:val="000000"/>
                <w:sz w:val="20"/>
                <w:szCs w:val="20"/>
                <w:lang w:val="en-US"/>
              </w:rPr>
              <w:t xml:space="preserve"> 51 IKM</w:t>
            </w:r>
          </w:p>
        </w:tc>
        <w:tc>
          <w:tcPr>
            <w:tcW w:w="145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100</w:t>
            </w:r>
          </w:p>
        </w:tc>
      </w:tr>
      <w:tr>
        <w:tblPrEx>
          <w:tblCellMar>
            <w:top w:w="0" w:type="dxa"/>
            <w:left w:w="108" w:type="dxa"/>
            <w:bottom w:w="0" w:type="dxa"/>
            <w:right w:w="108" w:type="dxa"/>
          </w:tblCellMar>
        </w:tblPrEx>
        <w:trPr>
          <w:trHeight w:val="1020" w:hRule="atLeast"/>
        </w:trPr>
        <w:tc>
          <w:tcPr>
            <w:tcW w:w="612" w:type="dxa"/>
            <w:tcBorders>
              <w:top w:val="nil"/>
              <w:left w:val="single" w:color="auto" w:sz="8" w:space="0"/>
              <w:bottom w:val="nil"/>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II.</w:t>
            </w:r>
          </w:p>
        </w:tc>
        <w:tc>
          <w:tcPr>
            <w:tcW w:w="3906" w:type="dxa"/>
            <w:gridSpan w:val="2"/>
            <w:tcBorders>
              <w:top w:val="single" w:color="auto" w:sz="8" w:space="0"/>
              <w:left w:val="nil"/>
              <w:bottom w:val="single" w:color="auto" w:sz="8" w:space="0"/>
              <w:right w:val="single" w:color="000000"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Meningkatnya Skala Usaha Sektor Perdagangan dan Penguatan Kinerja Pengujian dan Sertifikasi Mutu Barang, Kemetrologian serta Pengawasan Barang dan Jasa Beredar</w:t>
            </w:r>
          </w:p>
        </w:tc>
        <w:tc>
          <w:tcPr>
            <w:tcW w:w="97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1131"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145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r>
      <w:tr>
        <w:tblPrEx>
          <w:tblCellMar>
            <w:top w:w="0" w:type="dxa"/>
            <w:left w:w="108" w:type="dxa"/>
            <w:bottom w:w="0" w:type="dxa"/>
            <w:right w:w="108" w:type="dxa"/>
          </w:tblCellMar>
        </w:tblPrEx>
        <w:trPr>
          <w:trHeight w:val="349" w:hRule="atLeast"/>
        </w:trPr>
        <w:tc>
          <w:tcPr>
            <w:tcW w:w="612"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a.</w:t>
            </w:r>
          </w:p>
        </w:tc>
        <w:tc>
          <w:tcPr>
            <w:tcW w:w="3481"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Pasar rakyat dalam kondisi baik </w:t>
            </w:r>
          </w:p>
        </w:tc>
        <w:tc>
          <w:tcPr>
            <w:tcW w:w="97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sz w:val="20"/>
                <w:szCs w:val="20"/>
              </w:rPr>
            </w:pPr>
            <w:r>
              <w:rPr>
                <w:rFonts w:hint="default" w:ascii="Cambria" w:hAnsi="Cambria" w:cs="Cambria"/>
                <w:sz w:val="20"/>
                <w:szCs w:val="20"/>
              </w:rPr>
              <w:t>85</w:t>
            </w:r>
          </w:p>
        </w:tc>
        <w:tc>
          <w:tcPr>
            <w:tcW w:w="1131"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85</w:t>
            </w:r>
          </w:p>
        </w:tc>
        <w:tc>
          <w:tcPr>
            <w:tcW w:w="145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100</w:t>
            </w:r>
          </w:p>
        </w:tc>
      </w:tr>
      <w:tr>
        <w:tblPrEx>
          <w:tblCellMar>
            <w:top w:w="0" w:type="dxa"/>
            <w:left w:w="108" w:type="dxa"/>
            <w:bottom w:w="0" w:type="dxa"/>
            <w:right w:w="108" w:type="dxa"/>
          </w:tblCellMar>
        </w:tblPrEx>
        <w:trPr>
          <w:trHeight w:val="553"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b.</w:t>
            </w:r>
          </w:p>
        </w:tc>
        <w:tc>
          <w:tcPr>
            <w:tcW w:w="3481"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rekomnedasi izin usaha yang diterbitkan</w:t>
            </w:r>
          </w:p>
        </w:tc>
        <w:tc>
          <w:tcPr>
            <w:tcW w:w="97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1000</w:t>
            </w:r>
          </w:p>
        </w:tc>
        <w:tc>
          <w:tcPr>
            <w:tcW w:w="1131"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rPr>
              <w:t>1</w:t>
            </w:r>
            <w:r>
              <w:rPr>
                <w:rFonts w:hint="default" w:ascii="Cambria" w:hAnsi="Cambria" w:cs="Cambria"/>
                <w:color w:val="000000"/>
                <w:sz w:val="20"/>
                <w:szCs w:val="20"/>
                <w:lang w:val="en-US"/>
              </w:rPr>
              <w:t>232</w:t>
            </w:r>
          </w:p>
        </w:tc>
        <w:tc>
          <w:tcPr>
            <w:tcW w:w="145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123,2</w:t>
            </w:r>
          </w:p>
        </w:tc>
      </w:tr>
      <w:tr>
        <w:tblPrEx>
          <w:tblCellMar>
            <w:top w:w="0" w:type="dxa"/>
            <w:left w:w="108" w:type="dxa"/>
            <w:bottom w:w="0" w:type="dxa"/>
            <w:right w:w="108" w:type="dxa"/>
          </w:tblCellMar>
        </w:tblPrEx>
        <w:trPr>
          <w:trHeight w:val="405"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c. </w:t>
            </w:r>
          </w:p>
        </w:tc>
        <w:tc>
          <w:tcPr>
            <w:tcW w:w="3481"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Persentasi UTTP yang bertanda tera SAH</w:t>
            </w:r>
          </w:p>
        </w:tc>
        <w:tc>
          <w:tcPr>
            <w:tcW w:w="97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600 UTTP</w:t>
            </w:r>
          </w:p>
        </w:tc>
        <w:tc>
          <w:tcPr>
            <w:tcW w:w="1131"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0 UTTP</w:t>
            </w:r>
          </w:p>
        </w:tc>
        <w:tc>
          <w:tcPr>
            <w:tcW w:w="145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0</w:t>
            </w:r>
          </w:p>
        </w:tc>
      </w:tr>
      <w:tr>
        <w:tblPrEx>
          <w:tblCellMar>
            <w:top w:w="0" w:type="dxa"/>
            <w:left w:w="108" w:type="dxa"/>
            <w:bottom w:w="0" w:type="dxa"/>
            <w:right w:w="108" w:type="dxa"/>
          </w:tblCellMar>
        </w:tblPrEx>
        <w:trPr>
          <w:trHeight w:val="610" w:hRule="atLeast"/>
        </w:trPr>
        <w:tc>
          <w:tcPr>
            <w:tcW w:w="612" w:type="dxa"/>
            <w:tcBorders>
              <w:top w:val="nil"/>
              <w:left w:val="single" w:color="auto" w:sz="8" w:space="0"/>
              <w:bottom w:val="nil"/>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III.</w:t>
            </w:r>
          </w:p>
        </w:tc>
        <w:tc>
          <w:tcPr>
            <w:tcW w:w="3906" w:type="dxa"/>
            <w:gridSpan w:val="2"/>
            <w:tcBorders>
              <w:top w:val="single" w:color="auto" w:sz="8" w:space="0"/>
              <w:left w:val="nil"/>
              <w:bottom w:val="single" w:color="auto" w:sz="8" w:space="0"/>
              <w:right w:val="single" w:color="000000"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Meningkatnya Kualitas Kelembagaan, Daya Saing, Kemandirian Koperasi serta  Kualitas UMKM </w:t>
            </w:r>
          </w:p>
        </w:tc>
        <w:tc>
          <w:tcPr>
            <w:tcW w:w="97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1131"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145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r>
      <w:tr>
        <w:tblPrEx>
          <w:tblCellMar>
            <w:top w:w="0" w:type="dxa"/>
            <w:left w:w="108" w:type="dxa"/>
            <w:bottom w:w="0" w:type="dxa"/>
            <w:right w:w="108" w:type="dxa"/>
          </w:tblCellMar>
        </w:tblPrEx>
        <w:trPr>
          <w:trHeight w:val="421" w:hRule="atLeast"/>
        </w:trPr>
        <w:tc>
          <w:tcPr>
            <w:tcW w:w="612"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a.</w:t>
            </w:r>
          </w:p>
        </w:tc>
        <w:tc>
          <w:tcPr>
            <w:tcW w:w="3481"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Koperasi Aktif</w:t>
            </w:r>
          </w:p>
        </w:tc>
        <w:tc>
          <w:tcPr>
            <w:tcW w:w="97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138</w:t>
            </w:r>
          </w:p>
        </w:tc>
        <w:tc>
          <w:tcPr>
            <w:tcW w:w="1131"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rPr>
              <w:t>13</w:t>
            </w:r>
            <w:r>
              <w:rPr>
                <w:rFonts w:hint="default" w:ascii="Cambria" w:hAnsi="Cambria" w:cs="Cambria"/>
                <w:color w:val="000000"/>
                <w:sz w:val="20"/>
                <w:szCs w:val="20"/>
                <w:lang w:val="en-US"/>
              </w:rPr>
              <w:t>7</w:t>
            </w:r>
          </w:p>
        </w:tc>
        <w:tc>
          <w:tcPr>
            <w:tcW w:w="145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99,27</w:t>
            </w:r>
          </w:p>
        </w:tc>
      </w:tr>
      <w:tr>
        <w:tblPrEx>
          <w:tblCellMar>
            <w:top w:w="0" w:type="dxa"/>
            <w:left w:w="108" w:type="dxa"/>
            <w:bottom w:w="0" w:type="dxa"/>
            <w:right w:w="108" w:type="dxa"/>
          </w:tblCellMar>
        </w:tblPrEx>
        <w:trPr>
          <w:trHeight w:val="399"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b. </w:t>
            </w:r>
          </w:p>
        </w:tc>
        <w:tc>
          <w:tcPr>
            <w:tcW w:w="3481"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Koperasi Sehat</w:t>
            </w:r>
          </w:p>
        </w:tc>
        <w:tc>
          <w:tcPr>
            <w:tcW w:w="97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150</w:t>
            </w:r>
          </w:p>
        </w:tc>
        <w:tc>
          <w:tcPr>
            <w:tcW w:w="1131"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28</w:t>
            </w:r>
          </w:p>
        </w:tc>
        <w:tc>
          <w:tcPr>
            <w:tcW w:w="145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18,66</w:t>
            </w:r>
          </w:p>
        </w:tc>
      </w:tr>
      <w:tr>
        <w:tblPrEx>
          <w:tblCellMar>
            <w:top w:w="0" w:type="dxa"/>
            <w:left w:w="108" w:type="dxa"/>
            <w:bottom w:w="0" w:type="dxa"/>
            <w:right w:w="108" w:type="dxa"/>
          </w:tblCellMar>
        </w:tblPrEx>
        <w:trPr>
          <w:trHeight w:val="405"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c.</w:t>
            </w:r>
          </w:p>
        </w:tc>
        <w:tc>
          <w:tcPr>
            <w:tcW w:w="3481"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Persentase Peningkatan UMKM yang Produktif </w:t>
            </w:r>
          </w:p>
        </w:tc>
        <w:tc>
          <w:tcPr>
            <w:tcW w:w="97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350 UKM</w:t>
            </w:r>
          </w:p>
        </w:tc>
        <w:tc>
          <w:tcPr>
            <w:tcW w:w="1131"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eastAsiaTheme="minorHAnsi"/>
                <w:color w:val="000000"/>
                <w:sz w:val="20"/>
                <w:szCs w:val="20"/>
                <w:lang w:val="en-US" w:eastAsia="en-US" w:bidi="ar-SA"/>
              </w:rPr>
            </w:pPr>
            <w:r>
              <w:rPr>
                <w:rFonts w:hint="default" w:ascii="Cambria" w:hAnsi="Cambria" w:cs="Cambria"/>
                <w:color w:val="000000"/>
                <w:sz w:val="20"/>
                <w:szCs w:val="20"/>
              </w:rPr>
              <w:t>350 UKM</w:t>
            </w:r>
          </w:p>
        </w:tc>
        <w:tc>
          <w:tcPr>
            <w:tcW w:w="145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100</w:t>
            </w:r>
          </w:p>
        </w:tc>
      </w:tr>
      <w:tr>
        <w:tblPrEx>
          <w:tblCellMar>
            <w:top w:w="0" w:type="dxa"/>
            <w:left w:w="108" w:type="dxa"/>
            <w:bottom w:w="0" w:type="dxa"/>
            <w:right w:w="108" w:type="dxa"/>
          </w:tblCellMar>
        </w:tblPrEx>
        <w:trPr>
          <w:trHeight w:val="539"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d.</w:t>
            </w:r>
          </w:p>
        </w:tc>
        <w:tc>
          <w:tcPr>
            <w:tcW w:w="3481"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Peningkatan  Sentra UKM Potensial yang Dikembangkan</w:t>
            </w:r>
          </w:p>
        </w:tc>
        <w:tc>
          <w:tcPr>
            <w:tcW w:w="97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45 UKM</w:t>
            </w:r>
          </w:p>
        </w:tc>
        <w:tc>
          <w:tcPr>
            <w:tcW w:w="1131"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30 UKM</w:t>
            </w:r>
          </w:p>
        </w:tc>
        <w:tc>
          <w:tcPr>
            <w:tcW w:w="145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66,66</w:t>
            </w:r>
          </w:p>
        </w:tc>
      </w:tr>
    </w:tbl>
    <w:p>
      <w:pPr>
        <w:spacing w:after="0" w:line="360" w:lineRule="auto"/>
        <w:rPr>
          <w:rFonts w:hint="default" w:ascii="Cambria" w:hAnsi="Cambria" w:cs="Cambria"/>
          <w:b/>
          <w:sz w:val="24"/>
          <w:szCs w:val="24"/>
        </w:rPr>
      </w:pPr>
    </w:p>
    <w:p>
      <w:pPr>
        <w:pStyle w:val="13"/>
        <w:numPr>
          <w:ilvl w:val="0"/>
          <w:numId w:val="43"/>
        </w:numPr>
        <w:spacing w:after="0" w:line="360" w:lineRule="auto"/>
        <w:ind w:left="851" w:hanging="425"/>
        <w:jc w:val="both"/>
        <w:rPr>
          <w:rFonts w:hint="default" w:ascii="Cambria" w:hAnsi="Cambria" w:cs="Cambria"/>
          <w:b/>
          <w:sz w:val="24"/>
          <w:szCs w:val="24"/>
        </w:rPr>
      </w:pPr>
      <w:r>
        <w:rPr>
          <w:rFonts w:hint="default" w:ascii="Cambria" w:hAnsi="Cambria" w:cs="Cambria"/>
          <w:b/>
          <w:sz w:val="24"/>
          <w:szCs w:val="24"/>
        </w:rPr>
        <w:t>Perbandingan antara Realisasi Kinerja serta Capaian Kinerja Tahun ini dengan Tahun Lalu</w:t>
      </w:r>
    </w:p>
    <w:p>
      <w:pPr>
        <w:pStyle w:val="13"/>
        <w:spacing w:after="0" w:line="360" w:lineRule="auto"/>
        <w:ind w:left="851" w:firstLine="850"/>
        <w:jc w:val="both"/>
        <w:rPr>
          <w:rFonts w:hint="default" w:ascii="Cambria" w:hAnsi="Cambria" w:cs="Cambria"/>
          <w:b/>
          <w:sz w:val="24"/>
          <w:szCs w:val="24"/>
        </w:rPr>
      </w:pPr>
      <w:r>
        <w:rPr>
          <w:rFonts w:hint="default" w:ascii="Cambria" w:hAnsi="Cambria" w:cs="Cambria"/>
          <w:sz w:val="24"/>
          <w:szCs w:val="24"/>
        </w:rPr>
        <w:t>Perbandingan antara Realisasi Kinerja serta Capaian Kinerja Tahun ini dengan Tahun Lalu, dapat dilihat berdasarkan IKU Dinas Perindustrian, Perdagangan, Koperasi Usaha Kecil dan Menengah pada tabel dibawah ini :</w:t>
      </w:r>
    </w:p>
    <w:p>
      <w:pPr>
        <w:pStyle w:val="19"/>
        <w:tabs>
          <w:tab w:val="left" w:pos="1276"/>
          <w:tab w:val="left" w:pos="1701"/>
        </w:tabs>
        <w:spacing w:line="360" w:lineRule="auto"/>
        <w:jc w:val="center"/>
        <w:rPr>
          <w:rFonts w:hint="default" w:ascii="Cambria" w:hAnsi="Cambria" w:cs="Cambria"/>
          <w:sz w:val="24"/>
          <w:szCs w:val="24"/>
        </w:rPr>
      </w:pPr>
      <w:r>
        <w:rPr>
          <w:rFonts w:hint="default" w:ascii="Cambria" w:hAnsi="Cambria" w:cs="Cambria"/>
          <w:sz w:val="24"/>
          <w:szCs w:val="24"/>
        </w:rPr>
        <w:t>Tabel 3.2.2</w:t>
      </w:r>
    </w:p>
    <w:p>
      <w:pPr>
        <w:pStyle w:val="19"/>
        <w:tabs>
          <w:tab w:val="left" w:pos="1276"/>
          <w:tab w:val="left" w:pos="1701"/>
        </w:tabs>
        <w:spacing w:line="360" w:lineRule="auto"/>
        <w:jc w:val="center"/>
        <w:rPr>
          <w:rFonts w:hint="default" w:ascii="Cambria" w:hAnsi="Cambria" w:cs="Cambria"/>
          <w:sz w:val="24"/>
          <w:szCs w:val="24"/>
        </w:rPr>
      </w:pPr>
      <w:r>
        <w:rPr>
          <w:rFonts w:hint="default" w:ascii="Cambria" w:hAnsi="Cambria" w:cs="Cambria"/>
          <w:sz w:val="24"/>
          <w:szCs w:val="24"/>
        </w:rPr>
        <w:t>Perbandingan antara Realisasi Kinerja serta Capaian Kinerja Tahun ini dengan Tahun Lalu</w:t>
      </w:r>
    </w:p>
    <w:tbl>
      <w:tblPr>
        <w:tblStyle w:val="3"/>
        <w:tblW w:w="9112" w:type="dxa"/>
        <w:tblInd w:w="0" w:type="dxa"/>
        <w:tblLayout w:type="fixed"/>
        <w:tblCellMar>
          <w:top w:w="0" w:type="dxa"/>
          <w:left w:w="108" w:type="dxa"/>
          <w:bottom w:w="0" w:type="dxa"/>
          <w:right w:w="108" w:type="dxa"/>
        </w:tblCellMar>
      </w:tblPr>
      <w:tblGrid>
        <w:gridCol w:w="612"/>
        <w:gridCol w:w="425"/>
        <w:gridCol w:w="1954"/>
        <w:gridCol w:w="885"/>
        <w:gridCol w:w="1050"/>
        <w:gridCol w:w="1062"/>
        <w:gridCol w:w="918"/>
        <w:gridCol w:w="1140"/>
        <w:gridCol w:w="1066"/>
      </w:tblGrid>
      <w:tr>
        <w:tblPrEx>
          <w:tblCellMar>
            <w:top w:w="0" w:type="dxa"/>
            <w:left w:w="108" w:type="dxa"/>
            <w:bottom w:w="0" w:type="dxa"/>
            <w:right w:w="108" w:type="dxa"/>
          </w:tblCellMar>
        </w:tblPrEx>
        <w:trPr>
          <w:trHeight w:val="615" w:hRule="atLeast"/>
        </w:trPr>
        <w:tc>
          <w:tcPr>
            <w:tcW w:w="612" w:type="dxa"/>
            <w:vMerge w:val="restart"/>
            <w:tcBorders>
              <w:top w:val="single" w:color="auto" w:sz="8" w:space="0"/>
              <w:left w:val="single" w:color="auto" w:sz="8" w:space="0"/>
              <w:bottom w:val="single" w:color="000000" w:sz="8" w:space="0"/>
              <w:right w:val="single" w:color="auto" w:sz="8" w:space="0"/>
            </w:tcBorders>
            <w:shd w:val="clear" w:color="auto" w:fill="92D050"/>
            <w:noWrap/>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NO</w:t>
            </w:r>
          </w:p>
        </w:tc>
        <w:tc>
          <w:tcPr>
            <w:tcW w:w="2379" w:type="dxa"/>
            <w:gridSpan w:val="2"/>
            <w:vMerge w:val="restart"/>
            <w:tcBorders>
              <w:top w:val="single" w:color="auto" w:sz="8" w:space="0"/>
              <w:left w:val="single" w:color="auto" w:sz="8" w:space="0"/>
              <w:bottom w:val="single" w:color="000000" w:sz="8" w:space="0"/>
              <w:right w:val="single" w:color="000000"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xml:space="preserve">Indikator Kinerja Utama </w:t>
            </w:r>
          </w:p>
        </w:tc>
        <w:tc>
          <w:tcPr>
            <w:tcW w:w="1935" w:type="dxa"/>
            <w:gridSpan w:val="2"/>
            <w:tcBorders>
              <w:top w:val="single" w:color="auto" w:sz="8" w:space="0"/>
              <w:left w:val="nil"/>
              <w:bottom w:val="single" w:color="auto" w:sz="8" w:space="0"/>
              <w:right w:val="single" w:color="000000"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Tahun  2021</w:t>
            </w:r>
          </w:p>
        </w:tc>
        <w:tc>
          <w:tcPr>
            <w:tcW w:w="1062" w:type="dxa"/>
            <w:vMerge w:val="restart"/>
            <w:tcBorders>
              <w:top w:val="single" w:color="auto" w:sz="8" w:space="0"/>
              <w:left w:val="single" w:color="auto" w:sz="8" w:space="0"/>
              <w:bottom w:val="single" w:color="000000" w:sz="8" w:space="0"/>
              <w:right w:val="single" w:color="auto"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Capaian Kinerja</w:t>
            </w:r>
          </w:p>
        </w:tc>
        <w:tc>
          <w:tcPr>
            <w:tcW w:w="2058" w:type="dxa"/>
            <w:gridSpan w:val="2"/>
            <w:tcBorders>
              <w:top w:val="single" w:color="auto" w:sz="8" w:space="0"/>
              <w:left w:val="nil"/>
              <w:bottom w:val="single" w:color="auto" w:sz="8" w:space="0"/>
              <w:right w:val="single" w:color="000000"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Tahun  2022</w:t>
            </w:r>
          </w:p>
        </w:tc>
        <w:tc>
          <w:tcPr>
            <w:tcW w:w="1066" w:type="dxa"/>
            <w:vMerge w:val="restart"/>
            <w:tcBorders>
              <w:top w:val="single" w:color="auto" w:sz="8" w:space="0"/>
              <w:left w:val="single" w:color="auto" w:sz="8" w:space="0"/>
              <w:bottom w:val="single" w:color="000000" w:sz="8" w:space="0"/>
              <w:right w:val="single" w:color="auto"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Capaian Kinerja</w:t>
            </w:r>
          </w:p>
        </w:tc>
      </w:tr>
      <w:tr>
        <w:tblPrEx>
          <w:tblCellMar>
            <w:top w:w="0" w:type="dxa"/>
            <w:left w:w="108" w:type="dxa"/>
            <w:bottom w:w="0" w:type="dxa"/>
            <w:right w:w="108" w:type="dxa"/>
          </w:tblCellMar>
        </w:tblPrEx>
        <w:trPr>
          <w:trHeight w:val="420"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b/>
                <w:bCs/>
                <w:color w:val="000000"/>
                <w:sz w:val="20"/>
                <w:szCs w:val="20"/>
              </w:rPr>
            </w:pPr>
          </w:p>
        </w:tc>
        <w:tc>
          <w:tcPr>
            <w:tcW w:w="2379" w:type="dxa"/>
            <w:gridSpan w:val="2"/>
            <w:vMerge w:val="continue"/>
            <w:tcBorders>
              <w:top w:val="single" w:color="auto" w:sz="8" w:space="0"/>
              <w:left w:val="single" w:color="auto" w:sz="8" w:space="0"/>
              <w:bottom w:val="single" w:color="000000" w:sz="8" w:space="0"/>
              <w:right w:val="single" w:color="000000" w:sz="8" w:space="0"/>
            </w:tcBorders>
            <w:vAlign w:val="center"/>
          </w:tcPr>
          <w:p>
            <w:pPr>
              <w:spacing w:after="0"/>
              <w:rPr>
                <w:rFonts w:hint="default" w:ascii="Cambria" w:hAnsi="Cambria" w:cs="Cambria"/>
                <w:b/>
                <w:bCs/>
                <w:color w:val="000000"/>
                <w:sz w:val="20"/>
                <w:szCs w:val="20"/>
              </w:rPr>
            </w:pPr>
          </w:p>
        </w:tc>
        <w:tc>
          <w:tcPr>
            <w:tcW w:w="885" w:type="dxa"/>
            <w:tcBorders>
              <w:top w:val="nil"/>
              <w:left w:val="nil"/>
              <w:bottom w:val="single" w:color="auto" w:sz="8" w:space="0"/>
              <w:right w:val="single" w:color="auto"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Target</w:t>
            </w:r>
          </w:p>
        </w:tc>
        <w:tc>
          <w:tcPr>
            <w:tcW w:w="1050" w:type="dxa"/>
            <w:tcBorders>
              <w:top w:val="nil"/>
              <w:left w:val="nil"/>
              <w:bottom w:val="single" w:color="auto" w:sz="8" w:space="0"/>
              <w:right w:val="single" w:color="auto"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Realisasi</w:t>
            </w:r>
          </w:p>
        </w:tc>
        <w:tc>
          <w:tcPr>
            <w:tcW w:w="1062" w:type="dxa"/>
            <w:vMerge w:val="continue"/>
            <w:tcBorders>
              <w:top w:val="single" w:color="auto" w:sz="8" w:space="0"/>
              <w:left w:val="single" w:color="auto" w:sz="8" w:space="0"/>
              <w:bottom w:val="single" w:color="000000" w:sz="8" w:space="0"/>
              <w:right w:val="single" w:color="auto" w:sz="8" w:space="0"/>
            </w:tcBorders>
            <w:shd w:val="clear" w:color="auto" w:fill="92D050"/>
            <w:vAlign w:val="center"/>
          </w:tcPr>
          <w:p>
            <w:pPr>
              <w:spacing w:after="0"/>
              <w:rPr>
                <w:rFonts w:hint="default" w:ascii="Cambria" w:hAnsi="Cambria" w:cs="Cambria"/>
                <w:b/>
                <w:bCs/>
                <w:color w:val="000000"/>
                <w:sz w:val="20"/>
                <w:szCs w:val="20"/>
              </w:rPr>
            </w:pPr>
          </w:p>
        </w:tc>
        <w:tc>
          <w:tcPr>
            <w:tcW w:w="918" w:type="dxa"/>
            <w:tcBorders>
              <w:top w:val="nil"/>
              <w:left w:val="nil"/>
              <w:bottom w:val="single" w:color="auto" w:sz="8" w:space="0"/>
              <w:right w:val="single" w:color="auto"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Target</w:t>
            </w:r>
          </w:p>
        </w:tc>
        <w:tc>
          <w:tcPr>
            <w:tcW w:w="1140" w:type="dxa"/>
            <w:tcBorders>
              <w:top w:val="nil"/>
              <w:left w:val="nil"/>
              <w:bottom w:val="single" w:color="auto" w:sz="8" w:space="0"/>
              <w:right w:val="single" w:color="auto" w:sz="8" w:space="0"/>
            </w:tcBorders>
            <w:shd w:val="clear" w:color="auto" w:fill="92D050"/>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Realisasi</w:t>
            </w:r>
          </w:p>
        </w:tc>
        <w:tc>
          <w:tcPr>
            <w:tcW w:w="1066"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b/>
                <w:bCs/>
                <w:color w:val="000000"/>
                <w:sz w:val="20"/>
                <w:szCs w:val="20"/>
              </w:rPr>
            </w:pPr>
          </w:p>
        </w:tc>
      </w:tr>
      <w:tr>
        <w:tblPrEx>
          <w:tblCellMar>
            <w:top w:w="0" w:type="dxa"/>
            <w:left w:w="108" w:type="dxa"/>
            <w:bottom w:w="0" w:type="dxa"/>
            <w:right w:w="108" w:type="dxa"/>
          </w:tblCellMar>
        </w:tblPrEx>
        <w:trPr>
          <w:trHeight w:val="467" w:hRule="atLeast"/>
        </w:trPr>
        <w:tc>
          <w:tcPr>
            <w:tcW w:w="612" w:type="dxa"/>
            <w:tcBorders>
              <w:top w:val="nil"/>
              <w:left w:val="single" w:color="auto" w:sz="8" w:space="0"/>
              <w:bottom w:val="nil"/>
              <w:right w:val="single" w:color="auto" w:sz="8" w:space="0"/>
            </w:tcBorders>
            <w:shd w:val="clear" w:color="auto" w:fill="auto"/>
            <w:noWrap/>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I.</w:t>
            </w:r>
          </w:p>
        </w:tc>
        <w:tc>
          <w:tcPr>
            <w:tcW w:w="8500" w:type="dxa"/>
            <w:gridSpan w:val="8"/>
            <w:tcBorders>
              <w:top w:val="single" w:color="auto" w:sz="8" w:space="0"/>
              <w:left w:val="nil"/>
              <w:bottom w:val="single" w:color="auto" w:sz="8" w:space="0"/>
              <w:right w:val="single" w:color="auto" w:sz="8"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color w:val="000000"/>
                <w:sz w:val="20"/>
                <w:szCs w:val="20"/>
              </w:rPr>
              <w:t xml:space="preserve">Meningkatnya Kinerja Pembangunan Sektor Perindustrian </w:t>
            </w:r>
            <w:r>
              <w:rPr>
                <w:rFonts w:hint="default" w:ascii="Cambria" w:hAnsi="Cambria" w:cs="Cambria"/>
                <w:b/>
                <w:bCs/>
                <w:color w:val="000000"/>
                <w:sz w:val="20"/>
                <w:szCs w:val="20"/>
              </w:rPr>
              <w:t> </w:t>
            </w:r>
          </w:p>
        </w:tc>
      </w:tr>
      <w:tr>
        <w:tblPrEx>
          <w:tblCellMar>
            <w:top w:w="0" w:type="dxa"/>
            <w:left w:w="108" w:type="dxa"/>
            <w:bottom w:w="0" w:type="dxa"/>
            <w:right w:w="108" w:type="dxa"/>
          </w:tblCellMar>
        </w:tblPrEx>
        <w:trPr>
          <w:trHeight w:val="540" w:hRule="atLeast"/>
        </w:trPr>
        <w:tc>
          <w:tcPr>
            <w:tcW w:w="612"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a.</w:t>
            </w:r>
          </w:p>
        </w:tc>
        <w:tc>
          <w:tcPr>
            <w:tcW w:w="1954"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Pertumbuhan Sektor Industri</w:t>
            </w:r>
          </w:p>
        </w:tc>
        <w:tc>
          <w:tcPr>
            <w:tcW w:w="88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50 IKM</w:t>
            </w:r>
          </w:p>
        </w:tc>
        <w:tc>
          <w:tcPr>
            <w:tcW w:w="105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48 IKM</w:t>
            </w:r>
          </w:p>
        </w:tc>
        <w:tc>
          <w:tcPr>
            <w:tcW w:w="106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96</w:t>
            </w:r>
          </w:p>
        </w:tc>
        <w:tc>
          <w:tcPr>
            <w:tcW w:w="918"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25 IKM</w:t>
            </w:r>
          </w:p>
        </w:tc>
        <w:tc>
          <w:tcPr>
            <w:tcW w:w="114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25 IKM</w:t>
            </w:r>
          </w:p>
        </w:tc>
        <w:tc>
          <w:tcPr>
            <w:tcW w:w="106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660"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b.</w:t>
            </w:r>
          </w:p>
        </w:tc>
        <w:tc>
          <w:tcPr>
            <w:tcW w:w="1954"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peningkatan unit usaha industri unggulan daerah</w:t>
            </w:r>
          </w:p>
        </w:tc>
        <w:tc>
          <w:tcPr>
            <w:tcW w:w="88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32 IKM</w:t>
            </w:r>
          </w:p>
        </w:tc>
        <w:tc>
          <w:tcPr>
            <w:tcW w:w="105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32 IKM</w:t>
            </w:r>
          </w:p>
        </w:tc>
        <w:tc>
          <w:tcPr>
            <w:tcW w:w="106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c>
          <w:tcPr>
            <w:tcW w:w="918"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51 IKM</w:t>
            </w:r>
          </w:p>
        </w:tc>
        <w:tc>
          <w:tcPr>
            <w:tcW w:w="114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51 IKM</w:t>
            </w:r>
          </w:p>
        </w:tc>
        <w:tc>
          <w:tcPr>
            <w:tcW w:w="106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100</w:t>
            </w:r>
          </w:p>
        </w:tc>
      </w:tr>
      <w:tr>
        <w:tblPrEx>
          <w:tblCellMar>
            <w:top w:w="0" w:type="dxa"/>
            <w:left w:w="108" w:type="dxa"/>
            <w:bottom w:w="0" w:type="dxa"/>
            <w:right w:w="108" w:type="dxa"/>
          </w:tblCellMar>
        </w:tblPrEx>
        <w:trPr>
          <w:trHeight w:val="1020" w:hRule="atLeast"/>
        </w:trPr>
        <w:tc>
          <w:tcPr>
            <w:tcW w:w="612" w:type="dxa"/>
            <w:tcBorders>
              <w:top w:val="nil"/>
              <w:left w:val="single" w:color="auto" w:sz="8" w:space="0"/>
              <w:bottom w:val="nil"/>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II.</w:t>
            </w:r>
          </w:p>
        </w:tc>
        <w:tc>
          <w:tcPr>
            <w:tcW w:w="8500" w:type="dxa"/>
            <w:gridSpan w:val="8"/>
            <w:tcBorders>
              <w:top w:val="single" w:color="auto" w:sz="8" w:space="0"/>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Meningkatnya Skala Usaha Sektor Perdagangan dan Penguatan Kinerja Pengujian dan Sertifikasi Mutu Barang, Kemetrologian serta Pengawasan Barang dan Jasa Beredar</w:t>
            </w:r>
          </w:p>
        </w:tc>
      </w:tr>
      <w:tr>
        <w:tblPrEx>
          <w:tblCellMar>
            <w:top w:w="0" w:type="dxa"/>
            <w:left w:w="108" w:type="dxa"/>
            <w:bottom w:w="0" w:type="dxa"/>
            <w:right w:w="108" w:type="dxa"/>
          </w:tblCellMar>
        </w:tblPrEx>
        <w:trPr>
          <w:trHeight w:val="510" w:hRule="atLeast"/>
        </w:trPr>
        <w:tc>
          <w:tcPr>
            <w:tcW w:w="612"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a.</w:t>
            </w:r>
          </w:p>
        </w:tc>
        <w:tc>
          <w:tcPr>
            <w:tcW w:w="1954"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Pasar rakyat dalam kondisi baik  </w:t>
            </w:r>
          </w:p>
        </w:tc>
        <w:tc>
          <w:tcPr>
            <w:tcW w:w="88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sz w:val="20"/>
                <w:szCs w:val="20"/>
              </w:rPr>
            </w:pPr>
            <w:r>
              <w:rPr>
                <w:rFonts w:hint="default" w:ascii="Cambria" w:hAnsi="Cambria" w:cs="Cambria"/>
                <w:sz w:val="20"/>
                <w:szCs w:val="20"/>
              </w:rPr>
              <w:t>80%</w:t>
            </w:r>
          </w:p>
        </w:tc>
        <w:tc>
          <w:tcPr>
            <w:tcW w:w="105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60%</w:t>
            </w:r>
          </w:p>
        </w:tc>
        <w:tc>
          <w:tcPr>
            <w:tcW w:w="106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75</w:t>
            </w:r>
          </w:p>
        </w:tc>
        <w:tc>
          <w:tcPr>
            <w:tcW w:w="918"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sz w:val="20"/>
                <w:szCs w:val="20"/>
              </w:rPr>
            </w:pPr>
            <w:r>
              <w:rPr>
                <w:rFonts w:hint="default" w:ascii="Cambria" w:hAnsi="Cambria" w:cs="Cambria"/>
                <w:sz w:val="20"/>
                <w:szCs w:val="20"/>
              </w:rPr>
              <w:t>85%</w:t>
            </w:r>
          </w:p>
        </w:tc>
        <w:tc>
          <w:tcPr>
            <w:tcW w:w="114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85%</w:t>
            </w:r>
          </w:p>
        </w:tc>
        <w:tc>
          <w:tcPr>
            <w:tcW w:w="106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100</w:t>
            </w:r>
          </w:p>
        </w:tc>
      </w:tr>
      <w:tr>
        <w:tblPrEx>
          <w:tblCellMar>
            <w:top w:w="0" w:type="dxa"/>
            <w:left w:w="108" w:type="dxa"/>
            <w:bottom w:w="0" w:type="dxa"/>
            <w:right w:w="108" w:type="dxa"/>
          </w:tblCellMar>
        </w:tblPrEx>
        <w:trPr>
          <w:trHeight w:val="660"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b.</w:t>
            </w:r>
          </w:p>
        </w:tc>
        <w:tc>
          <w:tcPr>
            <w:tcW w:w="1954"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rekomnedasi izin usaha yang diterbitkan</w:t>
            </w:r>
          </w:p>
        </w:tc>
        <w:tc>
          <w:tcPr>
            <w:tcW w:w="88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80</w:t>
            </w:r>
          </w:p>
        </w:tc>
        <w:tc>
          <w:tcPr>
            <w:tcW w:w="105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76</w:t>
            </w:r>
          </w:p>
        </w:tc>
        <w:tc>
          <w:tcPr>
            <w:tcW w:w="106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95</w:t>
            </w:r>
          </w:p>
        </w:tc>
        <w:tc>
          <w:tcPr>
            <w:tcW w:w="918"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rPr>
              <w:t>1</w:t>
            </w:r>
            <w:r>
              <w:rPr>
                <w:rFonts w:hint="default" w:ascii="Cambria" w:hAnsi="Cambria" w:cs="Cambria"/>
                <w:color w:val="000000"/>
                <w:sz w:val="20"/>
                <w:szCs w:val="20"/>
                <w:lang w:val="en-US"/>
              </w:rPr>
              <w:t>000</w:t>
            </w:r>
          </w:p>
        </w:tc>
        <w:tc>
          <w:tcPr>
            <w:tcW w:w="114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rPr>
              <w:t>1</w:t>
            </w:r>
            <w:r>
              <w:rPr>
                <w:rFonts w:hint="default" w:ascii="Cambria" w:hAnsi="Cambria" w:cs="Cambria"/>
                <w:color w:val="000000"/>
                <w:sz w:val="20"/>
                <w:szCs w:val="20"/>
                <w:lang w:val="en-US"/>
              </w:rPr>
              <w:t>232</w:t>
            </w:r>
          </w:p>
        </w:tc>
        <w:tc>
          <w:tcPr>
            <w:tcW w:w="106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123,2</w:t>
            </w:r>
          </w:p>
        </w:tc>
      </w:tr>
      <w:tr>
        <w:tblPrEx>
          <w:tblCellMar>
            <w:top w:w="0" w:type="dxa"/>
            <w:left w:w="108" w:type="dxa"/>
            <w:bottom w:w="0" w:type="dxa"/>
            <w:right w:w="108" w:type="dxa"/>
          </w:tblCellMar>
        </w:tblPrEx>
        <w:trPr>
          <w:trHeight w:val="465"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c. </w:t>
            </w:r>
          </w:p>
        </w:tc>
        <w:tc>
          <w:tcPr>
            <w:tcW w:w="1954"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Persentasi UTTP yang bertanda tera SAH</w:t>
            </w:r>
          </w:p>
        </w:tc>
        <w:tc>
          <w:tcPr>
            <w:tcW w:w="88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600 UTTP</w:t>
            </w:r>
          </w:p>
        </w:tc>
        <w:tc>
          <w:tcPr>
            <w:tcW w:w="105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257 UTTP</w:t>
            </w:r>
          </w:p>
        </w:tc>
        <w:tc>
          <w:tcPr>
            <w:tcW w:w="106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43</w:t>
            </w:r>
          </w:p>
        </w:tc>
        <w:tc>
          <w:tcPr>
            <w:tcW w:w="918"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600 UTTP</w:t>
            </w:r>
          </w:p>
        </w:tc>
        <w:tc>
          <w:tcPr>
            <w:tcW w:w="114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0</w:t>
            </w:r>
          </w:p>
        </w:tc>
        <w:tc>
          <w:tcPr>
            <w:tcW w:w="106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0</w:t>
            </w:r>
          </w:p>
        </w:tc>
      </w:tr>
      <w:tr>
        <w:tblPrEx>
          <w:tblCellMar>
            <w:top w:w="0" w:type="dxa"/>
            <w:left w:w="108" w:type="dxa"/>
            <w:bottom w:w="0" w:type="dxa"/>
            <w:right w:w="108" w:type="dxa"/>
          </w:tblCellMar>
        </w:tblPrEx>
        <w:trPr>
          <w:trHeight w:val="780" w:hRule="atLeast"/>
        </w:trPr>
        <w:tc>
          <w:tcPr>
            <w:tcW w:w="612" w:type="dxa"/>
            <w:tcBorders>
              <w:top w:val="nil"/>
              <w:left w:val="single" w:color="auto" w:sz="8" w:space="0"/>
              <w:bottom w:val="nil"/>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III.</w:t>
            </w:r>
          </w:p>
        </w:tc>
        <w:tc>
          <w:tcPr>
            <w:tcW w:w="8500" w:type="dxa"/>
            <w:gridSpan w:val="8"/>
            <w:tcBorders>
              <w:top w:val="single" w:color="auto" w:sz="8" w:space="0"/>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Meningkatnya Kualitas Kelembagaan, Daya Saing, Kemandirian Koperasi serta  Kualitas UMKM </w:t>
            </w:r>
          </w:p>
        </w:tc>
      </w:tr>
      <w:tr>
        <w:tblPrEx>
          <w:tblCellMar>
            <w:top w:w="0" w:type="dxa"/>
            <w:left w:w="108" w:type="dxa"/>
            <w:bottom w:w="0" w:type="dxa"/>
            <w:right w:w="108" w:type="dxa"/>
          </w:tblCellMar>
        </w:tblPrEx>
        <w:trPr>
          <w:trHeight w:val="435" w:hRule="atLeast"/>
        </w:trPr>
        <w:tc>
          <w:tcPr>
            <w:tcW w:w="612"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a.</w:t>
            </w:r>
          </w:p>
        </w:tc>
        <w:tc>
          <w:tcPr>
            <w:tcW w:w="1954"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Koperasi Aktif</w:t>
            </w:r>
          </w:p>
        </w:tc>
        <w:tc>
          <w:tcPr>
            <w:tcW w:w="88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138</w:t>
            </w:r>
          </w:p>
        </w:tc>
        <w:tc>
          <w:tcPr>
            <w:tcW w:w="105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136</w:t>
            </w:r>
          </w:p>
        </w:tc>
        <w:tc>
          <w:tcPr>
            <w:tcW w:w="106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98</w:t>
            </w:r>
          </w:p>
        </w:tc>
        <w:tc>
          <w:tcPr>
            <w:tcW w:w="918"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138</w:t>
            </w:r>
          </w:p>
        </w:tc>
        <w:tc>
          <w:tcPr>
            <w:tcW w:w="114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137</w:t>
            </w:r>
          </w:p>
        </w:tc>
        <w:tc>
          <w:tcPr>
            <w:tcW w:w="106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99,27</w:t>
            </w:r>
          </w:p>
        </w:tc>
      </w:tr>
      <w:tr>
        <w:tblPrEx>
          <w:tblCellMar>
            <w:top w:w="0" w:type="dxa"/>
            <w:left w:w="108" w:type="dxa"/>
            <w:bottom w:w="0" w:type="dxa"/>
            <w:right w:w="108" w:type="dxa"/>
          </w:tblCellMar>
        </w:tblPrEx>
        <w:trPr>
          <w:trHeight w:val="435"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b. </w:t>
            </w:r>
          </w:p>
        </w:tc>
        <w:tc>
          <w:tcPr>
            <w:tcW w:w="1954"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Koperasi Sehat</w:t>
            </w:r>
          </w:p>
        </w:tc>
        <w:tc>
          <w:tcPr>
            <w:tcW w:w="88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150</w:t>
            </w:r>
          </w:p>
        </w:tc>
        <w:tc>
          <w:tcPr>
            <w:tcW w:w="105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89</w:t>
            </w:r>
          </w:p>
        </w:tc>
        <w:tc>
          <w:tcPr>
            <w:tcW w:w="106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59</w:t>
            </w:r>
          </w:p>
        </w:tc>
        <w:tc>
          <w:tcPr>
            <w:tcW w:w="918"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150</w:t>
            </w:r>
          </w:p>
        </w:tc>
        <w:tc>
          <w:tcPr>
            <w:tcW w:w="114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28</w:t>
            </w:r>
          </w:p>
        </w:tc>
        <w:tc>
          <w:tcPr>
            <w:tcW w:w="106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18,66</w:t>
            </w:r>
          </w:p>
        </w:tc>
      </w:tr>
      <w:tr>
        <w:tblPrEx>
          <w:tblCellMar>
            <w:top w:w="0" w:type="dxa"/>
            <w:left w:w="108" w:type="dxa"/>
            <w:bottom w:w="0" w:type="dxa"/>
            <w:right w:w="108" w:type="dxa"/>
          </w:tblCellMar>
        </w:tblPrEx>
        <w:trPr>
          <w:trHeight w:val="555"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c.</w:t>
            </w:r>
          </w:p>
        </w:tc>
        <w:tc>
          <w:tcPr>
            <w:tcW w:w="1954"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Persentase Peningkatan UMKM yang Produktif </w:t>
            </w:r>
          </w:p>
        </w:tc>
        <w:tc>
          <w:tcPr>
            <w:tcW w:w="88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350 UKM</w:t>
            </w:r>
          </w:p>
        </w:tc>
        <w:tc>
          <w:tcPr>
            <w:tcW w:w="105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346 UKM</w:t>
            </w:r>
          </w:p>
        </w:tc>
        <w:tc>
          <w:tcPr>
            <w:tcW w:w="106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98</w:t>
            </w:r>
          </w:p>
        </w:tc>
        <w:tc>
          <w:tcPr>
            <w:tcW w:w="918"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350 UKM</w:t>
            </w:r>
          </w:p>
        </w:tc>
        <w:tc>
          <w:tcPr>
            <w:tcW w:w="114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350 UKM</w:t>
            </w:r>
          </w:p>
        </w:tc>
        <w:tc>
          <w:tcPr>
            <w:tcW w:w="106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100</w:t>
            </w:r>
          </w:p>
        </w:tc>
      </w:tr>
      <w:tr>
        <w:tblPrEx>
          <w:tblCellMar>
            <w:top w:w="0" w:type="dxa"/>
            <w:left w:w="108" w:type="dxa"/>
            <w:bottom w:w="0" w:type="dxa"/>
            <w:right w:w="108" w:type="dxa"/>
          </w:tblCellMar>
        </w:tblPrEx>
        <w:trPr>
          <w:trHeight w:val="690" w:hRule="atLeast"/>
        </w:trPr>
        <w:tc>
          <w:tcPr>
            <w:tcW w:w="61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425" w:type="dxa"/>
            <w:tcBorders>
              <w:top w:val="nil"/>
              <w:left w:val="nil"/>
              <w:bottom w:val="single" w:color="auto" w:sz="8"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d.</w:t>
            </w:r>
          </w:p>
        </w:tc>
        <w:tc>
          <w:tcPr>
            <w:tcW w:w="1954"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Peningkatan  Sentra UKM Potensial yang Dikembangkan</w:t>
            </w:r>
          </w:p>
        </w:tc>
        <w:tc>
          <w:tcPr>
            <w:tcW w:w="88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45 UKM</w:t>
            </w:r>
          </w:p>
        </w:tc>
        <w:tc>
          <w:tcPr>
            <w:tcW w:w="105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31 UKM</w:t>
            </w:r>
          </w:p>
        </w:tc>
        <w:tc>
          <w:tcPr>
            <w:tcW w:w="106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69</w:t>
            </w:r>
          </w:p>
        </w:tc>
        <w:tc>
          <w:tcPr>
            <w:tcW w:w="918"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45 UKM</w:t>
            </w:r>
          </w:p>
        </w:tc>
        <w:tc>
          <w:tcPr>
            <w:tcW w:w="114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30 UKM</w:t>
            </w:r>
          </w:p>
        </w:tc>
        <w:tc>
          <w:tcPr>
            <w:tcW w:w="1066"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66,66</w:t>
            </w:r>
          </w:p>
        </w:tc>
      </w:tr>
    </w:tbl>
    <w:p>
      <w:pPr>
        <w:spacing w:after="0" w:line="360" w:lineRule="auto"/>
        <w:jc w:val="both"/>
        <w:rPr>
          <w:rFonts w:hint="default" w:ascii="Cambria" w:hAnsi="Cambria" w:cs="Cambria"/>
          <w:b/>
          <w:sz w:val="24"/>
          <w:szCs w:val="24"/>
        </w:rPr>
      </w:pPr>
    </w:p>
    <w:p>
      <w:pPr>
        <w:pStyle w:val="13"/>
        <w:numPr>
          <w:ilvl w:val="0"/>
          <w:numId w:val="43"/>
        </w:numPr>
        <w:spacing w:after="0" w:line="360" w:lineRule="auto"/>
        <w:ind w:left="671" w:hanging="245"/>
        <w:jc w:val="left"/>
        <w:rPr>
          <w:rFonts w:hint="default" w:ascii="Cambria" w:hAnsi="Cambria" w:cs="Cambria"/>
          <w:b/>
          <w:sz w:val="24"/>
          <w:szCs w:val="24"/>
        </w:rPr>
      </w:pPr>
      <w:r>
        <w:rPr>
          <w:rFonts w:hint="default" w:ascii="Cambria" w:hAnsi="Cambria" w:cs="Cambria"/>
          <w:b/>
          <w:sz w:val="24"/>
          <w:szCs w:val="24"/>
        </w:rPr>
        <w:t>Analisis</w:t>
      </w:r>
      <w:r>
        <w:rPr>
          <w:rFonts w:hint="default" w:ascii="Cambria" w:hAnsi="Cambria" w:cs="Cambria"/>
          <w:b/>
          <w:sz w:val="24"/>
          <w:szCs w:val="24"/>
          <w:lang w:val="en-US"/>
        </w:rPr>
        <w:t xml:space="preserve"> </w:t>
      </w:r>
      <w:r>
        <w:rPr>
          <w:rFonts w:hint="default" w:ascii="Cambria" w:hAnsi="Cambria" w:cs="Cambria"/>
          <w:b/>
          <w:sz w:val="24"/>
          <w:szCs w:val="24"/>
        </w:rPr>
        <w:t>Penyebab Keberhasilan/kegagalan atau peningkatan/penurunan kinerja serta alternatif solusi Tahun 202</w:t>
      </w:r>
      <w:r>
        <w:rPr>
          <w:rFonts w:hint="default" w:ascii="Cambria" w:hAnsi="Cambria" w:cs="Cambria"/>
          <w:b/>
          <w:sz w:val="24"/>
          <w:szCs w:val="24"/>
          <w:lang w:val="en-US"/>
        </w:rPr>
        <w:t>2</w:t>
      </w:r>
    </w:p>
    <w:p>
      <w:pPr>
        <w:pStyle w:val="13"/>
        <w:spacing w:after="0" w:line="360" w:lineRule="auto"/>
        <w:ind w:left="851" w:firstLine="850"/>
        <w:jc w:val="both"/>
        <w:rPr>
          <w:rFonts w:hint="default" w:ascii="Cambria" w:hAnsi="Cambria" w:cs="Cambria"/>
          <w:sz w:val="24"/>
          <w:szCs w:val="24"/>
        </w:rPr>
      </w:pPr>
      <w:r>
        <w:rPr>
          <w:rFonts w:hint="default" w:ascii="Cambria" w:hAnsi="Cambria" w:cs="Cambria"/>
          <w:sz w:val="24"/>
          <w:szCs w:val="24"/>
        </w:rPr>
        <w:t>Berdasarkan tabel di atas, pencapaian indikator tersebut melalui  9 indikator sampai  tahun 20</w:t>
      </w:r>
      <w:r>
        <w:rPr>
          <w:rFonts w:hint="default" w:ascii="Cambria" w:hAnsi="Cambria" w:cs="Cambria"/>
          <w:sz w:val="24"/>
          <w:szCs w:val="24"/>
          <w:lang w:val="en-US"/>
        </w:rPr>
        <w:t>22</w:t>
      </w:r>
      <w:r>
        <w:rPr>
          <w:rFonts w:hint="default" w:ascii="Cambria" w:hAnsi="Cambria" w:cs="Cambria"/>
          <w:sz w:val="24"/>
          <w:szCs w:val="24"/>
        </w:rPr>
        <w:t xml:space="preserve"> diuraikan sebagai berikut :</w:t>
      </w:r>
    </w:p>
    <w:p>
      <w:pPr>
        <w:pStyle w:val="13"/>
        <w:spacing w:after="0" w:line="360" w:lineRule="auto"/>
        <w:ind w:left="851" w:firstLine="850"/>
        <w:jc w:val="both"/>
        <w:rPr>
          <w:rFonts w:hint="default" w:ascii="Cambria" w:hAnsi="Cambria" w:cs="Cambria"/>
          <w:sz w:val="24"/>
          <w:szCs w:val="24"/>
        </w:rPr>
      </w:pPr>
    </w:p>
    <w:p>
      <w:pPr>
        <w:pStyle w:val="13"/>
        <w:numPr>
          <w:ilvl w:val="1"/>
          <w:numId w:val="43"/>
        </w:numPr>
        <w:spacing w:after="0" w:line="360" w:lineRule="auto"/>
        <w:ind w:left="1560" w:hanging="709"/>
        <w:jc w:val="both"/>
        <w:rPr>
          <w:rFonts w:hint="default" w:ascii="Cambria" w:hAnsi="Cambria" w:cs="Cambria"/>
          <w:b/>
          <w:sz w:val="24"/>
          <w:szCs w:val="24"/>
        </w:rPr>
      </w:pPr>
      <w:r>
        <w:rPr>
          <w:rFonts w:hint="default" w:ascii="Cambria" w:hAnsi="Cambria" w:cs="Cambria"/>
          <w:b/>
          <w:sz w:val="24"/>
          <w:szCs w:val="24"/>
        </w:rPr>
        <w:t>Pertumbuhan Sektor Industri</w:t>
      </w:r>
    </w:p>
    <w:p>
      <w:pPr>
        <w:pStyle w:val="13"/>
        <w:spacing w:after="0" w:line="360" w:lineRule="auto"/>
        <w:ind w:left="1560" w:firstLine="708"/>
        <w:jc w:val="both"/>
        <w:rPr>
          <w:rFonts w:hint="default" w:ascii="Cambria" w:hAnsi="Cambria" w:cs="Cambria"/>
          <w:sz w:val="24"/>
          <w:szCs w:val="24"/>
        </w:rPr>
      </w:pPr>
      <w:r>
        <w:rPr>
          <w:rFonts w:hint="default" w:ascii="Cambria" w:hAnsi="Cambria" w:cs="Cambria"/>
          <w:sz w:val="24"/>
          <w:szCs w:val="24"/>
        </w:rPr>
        <w:t>Pertumbuhan industri didukung oleh Program Perencanaan dan Pembangunan Industri, dengan kegiatan :</w:t>
      </w:r>
    </w:p>
    <w:p>
      <w:pPr>
        <w:pStyle w:val="13"/>
        <w:numPr>
          <w:ilvl w:val="0"/>
          <w:numId w:val="44"/>
        </w:numPr>
        <w:spacing w:after="0" w:line="360" w:lineRule="auto"/>
        <w:ind w:left="1985" w:hanging="425"/>
        <w:jc w:val="both"/>
        <w:rPr>
          <w:rFonts w:hint="default" w:ascii="Cambria" w:hAnsi="Cambria" w:cs="Cambria"/>
          <w:bCs/>
          <w:color w:val="C00000"/>
          <w:sz w:val="24"/>
          <w:szCs w:val="24"/>
        </w:rPr>
      </w:pPr>
      <w:r>
        <w:rPr>
          <w:rFonts w:hint="default" w:ascii="Cambria" w:hAnsi="Cambria" w:cs="Cambria"/>
          <w:bCs/>
          <w:sz w:val="24"/>
          <w:szCs w:val="24"/>
        </w:rPr>
        <w:t>Pe</w:t>
      </w:r>
      <w:r>
        <w:rPr>
          <w:rFonts w:hint="default" w:ascii="Cambria" w:hAnsi="Cambria" w:cs="Cambria"/>
          <w:bCs/>
          <w:sz w:val="24"/>
          <w:szCs w:val="24"/>
          <w:lang w:val="id-ID"/>
        </w:rPr>
        <w:t>nyusunan dan Evaluasi Rencana Pembangunan Industri Kabupaten/Kota</w:t>
      </w:r>
      <w:r>
        <w:rPr>
          <w:rFonts w:hint="default" w:ascii="Cambria" w:hAnsi="Cambria" w:cs="Cambria"/>
          <w:bCs/>
          <w:sz w:val="24"/>
          <w:szCs w:val="24"/>
        </w:rPr>
        <w:t xml:space="preserve">, </w:t>
      </w:r>
      <w:r>
        <w:rPr>
          <w:rFonts w:hint="default" w:ascii="Cambria" w:hAnsi="Cambria" w:cs="Cambria"/>
          <w:bCs/>
          <w:color w:val="auto"/>
          <w:sz w:val="24"/>
          <w:szCs w:val="24"/>
        </w:rPr>
        <w:t>dengan output pelaksanaan Coaching dan Workshop IPRO (Investment Project Ready to Offer) kawasan distribusi logistik – KTI dan kawasan industri kerjasama  Kementerian Investasi / BKPM</w:t>
      </w:r>
      <w:r>
        <w:rPr>
          <w:rFonts w:hint="default" w:ascii="Cambria" w:hAnsi="Cambria" w:cs="Cambria"/>
          <w:bCs/>
          <w:color w:val="auto"/>
          <w:sz w:val="24"/>
          <w:szCs w:val="24"/>
          <w:lang w:val="en-US"/>
        </w:rPr>
        <w:t>.</w:t>
      </w:r>
    </w:p>
    <w:p>
      <w:pPr>
        <w:pStyle w:val="13"/>
        <w:spacing w:after="0" w:line="360" w:lineRule="auto"/>
        <w:ind w:left="0"/>
        <w:jc w:val="both"/>
        <w:rPr>
          <w:rFonts w:hint="default" w:ascii="Cambria" w:hAnsi="Cambria" w:cs="Cambria"/>
          <w:bCs/>
          <w:color w:val="C00000"/>
          <w:sz w:val="24"/>
          <w:szCs w:val="24"/>
        </w:rPr>
      </w:pPr>
      <w:r>
        <w:rPr>
          <w:rFonts w:hint="default" w:ascii="Cambria" w:hAnsi="Cambria" w:cs="Cambria"/>
          <w:sz w:val="24"/>
          <w:szCs w:val="24"/>
        </w:rPr>
        <w:drawing>
          <wp:anchor distT="0" distB="0" distL="114300" distR="114300" simplePos="0" relativeHeight="251669504" behindDoc="0" locked="0" layoutInCell="1" allowOverlap="1">
            <wp:simplePos x="0" y="0"/>
            <wp:positionH relativeFrom="column">
              <wp:posOffset>1247140</wp:posOffset>
            </wp:positionH>
            <wp:positionV relativeFrom="paragraph">
              <wp:posOffset>76835</wp:posOffset>
            </wp:positionV>
            <wp:extent cx="3695065" cy="2266950"/>
            <wp:effectExtent l="9525" t="9525" r="10160" b="9525"/>
            <wp:wrapNone/>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3"/>
                    <pic:cNvPicPr>
                      <a:picLocks noChangeAspect="1"/>
                    </pic:cNvPicPr>
                  </pic:nvPicPr>
                  <pic:blipFill>
                    <a:blip r:embed="rId9"/>
                    <a:stretch>
                      <a:fillRect/>
                    </a:stretch>
                  </pic:blipFill>
                  <pic:spPr>
                    <a:xfrm>
                      <a:off x="0" y="0"/>
                      <a:ext cx="3695065" cy="2266950"/>
                    </a:xfrm>
                    <a:prstGeom prst="rect">
                      <a:avLst/>
                    </a:prstGeom>
                    <a:noFill/>
                    <a:ln>
                      <a:solidFill>
                        <a:srgbClr val="C00000"/>
                      </a:solidFill>
                    </a:ln>
                  </pic:spPr>
                </pic:pic>
              </a:graphicData>
            </a:graphic>
          </wp:anchor>
        </w:drawing>
      </w: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auto"/>
          <w:sz w:val="24"/>
          <w:szCs w:val="24"/>
        </w:rPr>
      </w:pPr>
    </w:p>
    <w:p>
      <w:pPr>
        <w:pStyle w:val="13"/>
        <w:spacing w:after="0" w:line="360" w:lineRule="auto"/>
        <w:ind w:left="0"/>
        <w:jc w:val="both"/>
        <w:rPr>
          <w:rFonts w:hint="default" w:ascii="Cambria" w:hAnsi="Cambria" w:cs="Cambria"/>
          <w:bCs/>
          <w:color w:val="auto"/>
          <w:sz w:val="24"/>
          <w:szCs w:val="24"/>
        </w:rPr>
      </w:pPr>
    </w:p>
    <w:p>
      <w:pPr>
        <w:pStyle w:val="13"/>
        <w:numPr>
          <w:ilvl w:val="0"/>
          <w:numId w:val="44"/>
        </w:numPr>
        <w:spacing w:after="0" w:line="360" w:lineRule="auto"/>
        <w:ind w:left="1985" w:hanging="425"/>
        <w:jc w:val="both"/>
        <w:rPr>
          <w:rFonts w:hint="default" w:ascii="Cambria" w:hAnsi="Cambria" w:cs="Cambria"/>
          <w:b/>
          <w:color w:val="auto"/>
          <w:sz w:val="24"/>
          <w:szCs w:val="24"/>
        </w:rPr>
      </w:pPr>
      <w:r>
        <w:rPr>
          <w:rFonts w:hint="default" w:ascii="Cambria" w:hAnsi="Cambria" w:cs="Cambria"/>
          <w:color w:val="auto"/>
          <w:sz w:val="24"/>
          <w:szCs w:val="24"/>
          <w:lang w:val="id-ID"/>
        </w:rPr>
        <w:t>Koordinasi, Sinkronisasi, dan Pelaksanaan Kebijakan Percepatan Pengembangan, Peny</w:t>
      </w:r>
      <w:r>
        <w:rPr>
          <w:rFonts w:hint="default" w:ascii="Cambria" w:hAnsi="Cambria" w:cs="Cambria"/>
          <w:color w:val="auto"/>
          <w:sz w:val="24"/>
          <w:szCs w:val="24"/>
        </w:rPr>
        <w:t>e</w:t>
      </w:r>
      <w:r>
        <w:rPr>
          <w:rFonts w:hint="default" w:ascii="Cambria" w:hAnsi="Cambria" w:cs="Cambria"/>
          <w:color w:val="auto"/>
          <w:sz w:val="24"/>
          <w:szCs w:val="24"/>
          <w:lang w:val="id-ID"/>
        </w:rPr>
        <w:t>baran dan Perwilayahan Industri</w:t>
      </w:r>
      <w:r>
        <w:rPr>
          <w:rFonts w:hint="default" w:ascii="Cambria" w:hAnsi="Cambria" w:cs="Cambria"/>
          <w:color w:val="auto"/>
          <w:sz w:val="24"/>
          <w:szCs w:val="24"/>
        </w:rPr>
        <w:t xml:space="preserve"> dengan output </w:t>
      </w:r>
      <w:r>
        <w:rPr>
          <w:rFonts w:hint="default" w:ascii="Cambria" w:hAnsi="Cambria" w:cs="Cambria"/>
          <w:bCs/>
          <w:color w:val="auto"/>
          <w:sz w:val="24"/>
          <w:szCs w:val="24"/>
        </w:rPr>
        <w:t>pelaksanaan Penyusunan Master Plan ( Rencana Induk) dan Fisibility Study ( Study Kelayakan ) pembangunan KIS ( Kawasan Industri Selayar ) serta KIPT         ( Kawasan Industri Perikanan Terpadu ) kerjasama  dengan Dinas Perindustrian Provinsi Sulawesi Selatan dan LPPM Universitas Bosowa.</w:t>
      </w:r>
    </w:p>
    <w:p>
      <w:pPr>
        <w:pStyle w:val="13"/>
        <w:spacing w:after="0" w:line="360" w:lineRule="auto"/>
        <w:ind w:left="0"/>
        <w:jc w:val="both"/>
        <w:rPr>
          <w:rFonts w:hint="default" w:ascii="Cambria" w:hAnsi="Cambria" w:cs="Cambria"/>
          <w:bCs/>
          <w:color w:val="C00000"/>
          <w:sz w:val="24"/>
          <w:szCs w:val="24"/>
        </w:rPr>
      </w:pPr>
      <w:r>
        <w:rPr>
          <w:rFonts w:hint="default" w:ascii="Cambria" w:hAnsi="Cambria" w:cs="Cambria"/>
          <w:sz w:val="24"/>
          <w:szCs w:val="24"/>
        </w:rPr>
        <w:drawing>
          <wp:anchor distT="0" distB="0" distL="114300" distR="114300" simplePos="0" relativeHeight="251665408" behindDoc="0" locked="0" layoutInCell="1" allowOverlap="1">
            <wp:simplePos x="0" y="0"/>
            <wp:positionH relativeFrom="column">
              <wp:posOffset>1433830</wp:posOffset>
            </wp:positionH>
            <wp:positionV relativeFrom="paragraph">
              <wp:posOffset>124460</wp:posOffset>
            </wp:positionV>
            <wp:extent cx="3488690" cy="1963420"/>
            <wp:effectExtent l="9525" t="9525" r="26035" b="27305"/>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0"/>
                    <a:stretch>
                      <a:fillRect/>
                    </a:stretch>
                  </pic:blipFill>
                  <pic:spPr>
                    <a:xfrm>
                      <a:off x="0" y="0"/>
                      <a:ext cx="3488690" cy="1963420"/>
                    </a:xfrm>
                    <a:prstGeom prst="rect">
                      <a:avLst/>
                    </a:prstGeom>
                    <a:noFill/>
                    <a:ln>
                      <a:solidFill>
                        <a:srgbClr val="C00000"/>
                      </a:solidFill>
                    </a:ln>
                  </pic:spPr>
                </pic:pic>
              </a:graphicData>
            </a:graphic>
          </wp:anchor>
        </w:drawing>
      </w:r>
    </w:p>
    <w:p>
      <w:pPr>
        <w:pStyle w:val="13"/>
        <w:spacing w:after="0" w:line="360" w:lineRule="auto"/>
        <w:ind w:left="0"/>
        <w:jc w:val="both"/>
        <w:rPr>
          <w:rFonts w:hint="default" w:ascii="Cambria" w:hAnsi="Cambria" w:cs="Cambria"/>
          <w:bCs/>
          <w:color w:val="C00000"/>
          <w:sz w:val="24"/>
          <w:szCs w:val="24"/>
        </w:rPr>
      </w:pPr>
      <w:r>
        <w:rPr>
          <w:rFonts w:hint="default" w:ascii="Cambria" w:hAnsi="Cambria" w:eastAsia="SimSun" w:cs="Cambria"/>
          <w:sz w:val="24"/>
          <w:szCs w:val="24"/>
        </w:rPr>
        <w:drawing>
          <wp:inline distT="0" distB="0" distL="114300" distR="114300">
            <wp:extent cx="304800" cy="304800"/>
            <wp:effectExtent l="0" t="0" r="0" b="0"/>
            <wp:docPr id="4"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IMG_256"/>
                    <pic:cNvPicPr>
                      <a:picLocks noChangeAspect="1"/>
                    </pic:cNvPicPr>
                  </pic:nvPicPr>
                  <pic:blipFill>
                    <a:blip r:embed="rId11"/>
                    <a:stretch>
                      <a:fillRect/>
                    </a:stretch>
                  </pic:blipFill>
                  <pic:spPr>
                    <a:xfrm>
                      <a:off x="0" y="0"/>
                      <a:ext cx="304800" cy="304800"/>
                    </a:xfrm>
                    <a:prstGeom prst="rect">
                      <a:avLst/>
                    </a:prstGeom>
                    <a:noFill/>
                    <a:ln w="9525">
                      <a:noFill/>
                    </a:ln>
                  </pic:spPr>
                </pic:pic>
              </a:graphicData>
            </a:graphic>
          </wp:inline>
        </w:drawing>
      </w: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r>
        <w:rPr>
          <w:rFonts w:hint="default" w:ascii="Cambria" w:hAnsi="Cambria" w:cs="Cambria"/>
          <w:sz w:val="24"/>
          <w:szCs w:val="24"/>
        </w:rPr>
        <w:drawing>
          <wp:anchor distT="0" distB="0" distL="114300" distR="114300" simplePos="0" relativeHeight="251666432" behindDoc="0" locked="0" layoutInCell="1" allowOverlap="1">
            <wp:simplePos x="0" y="0"/>
            <wp:positionH relativeFrom="column">
              <wp:posOffset>1410335</wp:posOffset>
            </wp:positionH>
            <wp:positionV relativeFrom="paragraph">
              <wp:posOffset>158750</wp:posOffset>
            </wp:positionV>
            <wp:extent cx="3526155" cy="1984375"/>
            <wp:effectExtent l="9525" t="9525" r="26670" b="25400"/>
            <wp:wrapNone/>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2"/>
                    <a:stretch>
                      <a:fillRect/>
                    </a:stretch>
                  </pic:blipFill>
                  <pic:spPr>
                    <a:xfrm>
                      <a:off x="0" y="0"/>
                      <a:ext cx="3526155" cy="1984375"/>
                    </a:xfrm>
                    <a:prstGeom prst="rect">
                      <a:avLst/>
                    </a:prstGeom>
                    <a:noFill/>
                    <a:ln>
                      <a:solidFill>
                        <a:srgbClr val="C00000"/>
                      </a:solidFill>
                    </a:ln>
                  </pic:spPr>
                </pic:pic>
              </a:graphicData>
            </a:graphic>
          </wp:anchor>
        </w:drawing>
      </w: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pStyle w:val="13"/>
        <w:spacing w:after="0" w:line="360" w:lineRule="auto"/>
        <w:ind w:left="0"/>
        <w:jc w:val="both"/>
        <w:rPr>
          <w:rFonts w:hint="default" w:ascii="Cambria" w:hAnsi="Cambria" w:cs="Cambria"/>
          <w:bCs/>
          <w:color w:val="C00000"/>
          <w:sz w:val="24"/>
          <w:szCs w:val="24"/>
        </w:rPr>
      </w:pPr>
    </w:p>
    <w:p>
      <w:pPr>
        <w:spacing w:after="0" w:line="360" w:lineRule="auto"/>
        <w:jc w:val="both"/>
        <w:rPr>
          <w:rFonts w:hint="default" w:ascii="Cambria" w:hAnsi="Cambria" w:cs="Cambria"/>
          <w:b/>
          <w:color w:val="auto"/>
          <w:sz w:val="24"/>
          <w:szCs w:val="24"/>
        </w:rPr>
      </w:pPr>
    </w:p>
    <w:p>
      <w:pPr>
        <w:pStyle w:val="13"/>
        <w:numPr>
          <w:ilvl w:val="0"/>
          <w:numId w:val="44"/>
        </w:numPr>
        <w:spacing w:after="0" w:line="360" w:lineRule="auto"/>
        <w:ind w:left="1985" w:hanging="425"/>
        <w:jc w:val="both"/>
        <w:rPr>
          <w:rFonts w:hint="default" w:ascii="Cambria" w:hAnsi="Cambria" w:cs="Cambria"/>
          <w:b/>
          <w:color w:val="auto"/>
          <w:sz w:val="24"/>
          <w:szCs w:val="24"/>
        </w:rPr>
      </w:pPr>
      <w:r>
        <w:rPr>
          <w:rFonts w:hint="default" w:ascii="Cambria" w:hAnsi="Cambria" w:cs="Cambria"/>
          <w:color w:val="auto"/>
          <w:sz w:val="24"/>
          <w:szCs w:val="24"/>
          <w:lang w:val="id-ID"/>
        </w:rPr>
        <w:t>Koordinasi, Sinkronisasi, dan Pelaksanaan Pembangunan Sumber Daya Industri</w:t>
      </w:r>
      <w:r>
        <w:rPr>
          <w:rFonts w:hint="default" w:ascii="Cambria" w:hAnsi="Cambria" w:cs="Cambria"/>
          <w:color w:val="auto"/>
          <w:sz w:val="24"/>
          <w:szCs w:val="24"/>
        </w:rPr>
        <w:t>, pembentukan 3 sentra di 3 kecamatan. Yaitu Sentra Pengolahan Ikan di Pasilambena, Sentra Kapal Rakyat di Pasimarannu dan Sentra Olahan Ikan di Taka Bonerate.</w:t>
      </w:r>
    </w:p>
    <w:p>
      <w:pPr>
        <w:pStyle w:val="13"/>
        <w:numPr>
          <w:ilvl w:val="0"/>
          <w:numId w:val="44"/>
        </w:numPr>
        <w:spacing w:after="0" w:line="360" w:lineRule="auto"/>
        <w:ind w:left="1985" w:hanging="425"/>
        <w:jc w:val="both"/>
        <w:rPr>
          <w:rFonts w:hint="default" w:ascii="Cambria" w:hAnsi="Cambria" w:cs="Cambria"/>
          <w:b/>
          <w:color w:val="C00000"/>
          <w:sz w:val="24"/>
          <w:szCs w:val="24"/>
        </w:rPr>
      </w:pPr>
      <w:r>
        <w:rPr>
          <w:rFonts w:hint="default" w:ascii="Cambria" w:hAnsi="Cambria" w:cs="Cambria"/>
          <w:sz w:val="24"/>
          <w:szCs w:val="24"/>
          <w:lang w:val="id-ID"/>
        </w:rPr>
        <w:t xml:space="preserve">Koordinasi, Sinkronisasi, dan Pelaksanaan Pembangunan </w:t>
      </w:r>
      <w:r>
        <w:rPr>
          <w:rFonts w:hint="default" w:ascii="Cambria" w:hAnsi="Cambria" w:cs="Cambria"/>
          <w:color w:val="auto"/>
          <w:sz w:val="24"/>
          <w:szCs w:val="24"/>
          <w:lang w:val="id-ID"/>
        </w:rPr>
        <w:t>Sarana dan Prasarana Industri</w:t>
      </w:r>
      <w:r>
        <w:rPr>
          <w:rFonts w:hint="default" w:ascii="Cambria" w:hAnsi="Cambria" w:cs="Cambria"/>
          <w:color w:val="auto"/>
          <w:sz w:val="24"/>
          <w:szCs w:val="24"/>
        </w:rPr>
        <w:t xml:space="preserve">, output </w:t>
      </w:r>
      <w:r>
        <w:rPr>
          <w:rFonts w:hint="default" w:ascii="Cambria" w:hAnsi="Cambria" w:cs="Cambria"/>
          <w:bCs/>
          <w:color w:val="auto"/>
          <w:sz w:val="24"/>
          <w:szCs w:val="24"/>
        </w:rPr>
        <w:t>study lokasi pembangunan KIS ( Kawasan Industri Selayar ) serta KIPT         ( Kawasan Industri Perikanan Terpadu ).</w:t>
      </w:r>
    </w:p>
    <w:p>
      <w:pPr>
        <w:pStyle w:val="13"/>
        <w:spacing w:after="0" w:line="360" w:lineRule="auto"/>
        <w:ind w:left="0"/>
        <w:jc w:val="both"/>
        <w:rPr>
          <w:rFonts w:hint="default" w:ascii="Cambria" w:hAnsi="Cambria" w:cs="Cambria"/>
          <w:bCs/>
          <w:color w:val="00B050"/>
          <w:sz w:val="24"/>
          <w:szCs w:val="24"/>
        </w:rPr>
      </w:pPr>
      <w:r>
        <w:rPr>
          <w:rFonts w:hint="default" w:ascii="Cambria" w:hAnsi="Cambria" w:cs="Cambria"/>
          <w:sz w:val="24"/>
          <w:szCs w:val="24"/>
        </w:rPr>
        <w:drawing>
          <wp:anchor distT="0" distB="0" distL="114300" distR="114300" simplePos="0" relativeHeight="251667456" behindDoc="0" locked="0" layoutInCell="1" allowOverlap="1">
            <wp:simplePos x="0" y="0"/>
            <wp:positionH relativeFrom="column">
              <wp:posOffset>733425</wp:posOffset>
            </wp:positionH>
            <wp:positionV relativeFrom="paragraph">
              <wp:posOffset>120015</wp:posOffset>
            </wp:positionV>
            <wp:extent cx="3146425" cy="1769745"/>
            <wp:effectExtent l="9525" t="9525" r="25400" b="11430"/>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3"/>
                    <a:stretch>
                      <a:fillRect/>
                    </a:stretch>
                  </pic:blipFill>
                  <pic:spPr>
                    <a:xfrm>
                      <a:off x="0" y="0"/>
                      <a:ext cx="3146425" cy="1769745"/>
                    </a:xfrm>
                    <a:prstGeom prst="rect">
                      <a:avLst/>
                    </a:prstGeom>
                    <a:noFill/>
                    <a:ln>
                      <a:solidFill>
                        <a:srgbClr val="C00000"/>
                      </a:solidFill>
                    </a:ln>
                  </pic:spPr>
                </pic:pic>
              </a:graphicData>
            </a:graphic>
          </wp:anchor>
        </w:drawing>
      </w: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r>
        <w:rPr>
          <w:rFonts w:hint="default" w:ascii="Cambria" w:hAnsi="Cambria" w:cs="Cambria"/>
          <w:sz w:val="24"/>
          <w:szCs w:val="24"/>
        </w:rPr>
        <w:drawing>
          <wp:anchor distT="0" distB="0" distL="114300" distR="114300" simplePos="0" relativeHeight="251668480" behindDoc="0" locked="0" layoutInCell="1" allowOverlap="1">
            <wp:simplePos x="0" y="0"/>
            <wp:positionH relativeFrom="column">
              <wp:posOffset>1924050</wp:posOffset>
            </wp:positionH>
            <wp:positionV relativeFrom="paragraph">
              <wp:posOffset>144145</wp:posOffset>
            </wp:positionV>
            <wp:extent cx="3158490" cy="1776730"/>
            <wp:effectExtent l="9525" t="9525" r="13335" b="23495"/>
            <wp:wrapNone/>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4"/>
                    <a:stretch>
                      <a:fillRect/>
                    </a:stretch>
                  </pic:blipFill>
                  <pic:spPr>
                    <a:xfrm>
                      <a:off x="0" y="0"/>
                      <a:ext cx="3158490" cy="1776730"/>
                    </a:xfrm>
                    <a:prstGeom prst="rect">
                      <a:avLst/>
                    </a:prstGeom>
                    <a:noFill/>
                    <a:ln>
                      <a:solidFill>
                        <a:srgbClr val="C00000"/>
                      </a:solidFill>
                    </a:ln>
                  </pic:spPr>
                </pic:pic>
              </a:graphicData>
            </a:graphic>
          </wp:anchor>
        </w:drawing>
      </w: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p>
    <w:p>
      <w:pPr>
        <w:pStyle w:val="13"/>
        <w:spacing w:after="0" w:line="360" w:lineRule="auto"/>
        <w:ind w:left="0"/>
        <w:jc w:val="both"/>
        <w:rPr>
          <w:rFonts w:hint="default" w:ascii="Cambria" w:hAnsi="Cambria" w:cs="Cambria"/>
          <w:bCs/>
          <w:color w:val="00B050"/>
          <w:sz w:val="24"/>
          <w:szCs w:val="24"/>
        </w:rPr>
      </w:pPr>
    </w:p>
    <w:p>
      <w:pPr>
        <w:pStyle w:val="13"/>
        <w:numPr>
          <w:ilvl w:val="0"/>
          <w:numId w:val="44"/>
        </w:numPr>
        <w:spacing w:after="0" w:line="360" w:lineRule="auto"/>
        <w:ind w:left="1985" w:hanging="425"/>
        <w:jc w:val="both"/>
        <w:rPr>
          <w:rFonts w:hint="default" w:ascii="Cambria" w:hAnsi="Cambria" w:cs="Cambria"/>
          <w:b/>
          <w:color w:val="C00000"/>
          <w:sz w:val="24"/>
          <w:szCs w:val="24"/>
        </w:rPr>
      </w:pPr>
      <w:r>
        <w:rPr>
          <w:rFonts w:hint="default" w:ascii="Cambria" w:hAnsi="Cambria" w:cs="Cambria"/>
          <w:color w:val="000000" w:themeColor="text1"/>
          <w:sz w:val="24"/>
          <w:szCs w:val="24"/>
          <w:lang w:val="id-ID"/>
          <w14:textFill>
            <w14:solidFill>
              <w14:schemeClr w14:val="tx1"/>
            </w14:solidFill>
          </w14:textFill>
        </w:rPr>
        <w:t>Koordinasi, Sinkronisasi, dan Pelaksanaan Pemberdayaan Industri dan Peran Serta Masyarakat</w:t>
      </w:r>
      <w:r>
        <w:rPr>
          <w:rFonts w:hint="default" w:ascii="Cambria" w:hAnsi="Cambria" w:cs="Cambria"/>
          <w:color w:val="000000" w:themeColor="text1"/>
          <w:sz w:val="24"/>
          <w:szCs w:val="24"/>
          <w14:textFill>
            <w14:solidFill>
              <w14:schemeClr w14:val="tx1"/>
            </w14:solidFill>
          </w14:textFill>
        </w:rPr>
        <w:t>, output pelaksanaan pelatihan pengolahan ikan</w:t>
      </w:r>
      <w:r>
        <w:rPr>
          <w:rFonts w:hint="default" w:ascii="Cambria" w:hAnsi="Cambria" w:cs="Cambria"/>
          <w:color w:val="000000" w:themeColor="text1"/>
          <w:sz w:val="24"/>
          <w:szCs w:val="24"/>
          <w:lang w:val="en-US"/>
          <w14:textFill>
            <w14:solidFill>
              <w14:schemeClr w14:val="tx1"/>
            </w14:solidFill>
          </w14:textFill>
        </w:rPr>
        <w:t>, pengolahan kelapa dan pengolahan jambu mente. Sebanyak 18 angkatan dengan jumlah peserta 1080 pelaku ukm dari 11 kecamatan kabupaten kepulauan selayar</w:t>
      </w:r>
    </w:p>
    <w:p>
      <w:pPr>
        <w:pStyle w:val="13"/>
        <w:numPr>
          <w:ilvl w:val="0"/>
          <w:numId w:val="44"/>
        </w:numPr>
        <w:spacing w:after="0" w:line="360" w:lineRule="auto"/>
        <w:ind w:left="1985" w:hanging="425"/>
        <w:jc w:val="both"/>
        <w:rPr>
          <w:rFonts w:hint="default" w:ascii="Cambria" w:hAnsi="Cambria" w:cs="Cambria"/>
          <w:b/>
          <w:color w:val="C00000"/>
          <w:sz w:val="24"/>
          <w:szCs w:val="24"/>
        </w:rPr>
      </w:pPr>
      <w:r>
        <w:rPr>
          <w:rFonts w:hint="default" w:ascii="Cambria" w:hAnsi="Cambria" w:cs="Cambria"/>
          <w:color w:val="000000" w:themeColor="text1"/>
          <w:sz w:val="24"/>
          <w:szCs w:val="24"/>
          <w:lang w:val="id-ID"/>
          <w14:textFill>
            <w14:solidFill>
              <w14:schemeClr w14:val="tx1"/>
            </w14:solidFill>
          </w14:textFill>
        </w:rPr>
        <w:t>Evaluasi terhadap Pelaksanaan Rencana Pembangunan Industri</w:t>
      </w:r>
      <w:r>
        <w:rPr>
          <w:rFonts w:hint="default" w:ascii="Cambria" w:hAnsi="Cambria" w:cs="Cambria"/>
          <w:color w:val="000000" w:themeColor="text1"/>
          <w:sz w:val="24"/>
          <w:szCs w:val="24"/>
          <w14:textFill>
            <w14:solidFill>
              <w14:schemeClr w14:val="tx1"/>
            </w14:solidFill>
          </w14:textFill>
        </w:rPr>
        <w:t>, output pelaksanaan</w:t>
      </w:r>
      <w:r>
        <w:rPr>
          <w:rFonts w:hint="default" w:ascii="Cambria" w:hAnsi="Cambria" w:cs="Cambria"/>
          <w:color w:val="000000" w:themeColor="text1"/>
          <w:sz w:val="24"/>
          <w:szCs w:val="24"/>
          <w:lang w:val="en-US"/>
          <w14:textFill>
            <w14:solidFill>
              <w14:schemeClr w14:val="tx1"/>
            </w14:solidFill>
          </w14:textFill>
        </w:rPr>
        <w:t xml:space="preserve"> </w:t>
      </w:r>
      <w:r>
        <w:rPr>
          <w:rFonts w:hint="default" w:ascii="Cambria" w:hAnsi="Cambria" w:cs="Cambria"/>
          <w:bCs/>
          <w:color w:val="000000" w:themeColor="text1"/>
          <w:sz w:val="24"/>
          <w:szCs w:val="24"/>
          <w:lang w:val="en-US"/>
          <w14:textFill>
            <w14:solidFill>
              <w14:schemeClr w14:val="tx1"/>
            </w14:solidFill>
          </w14:textFill>
        </w:rPr>
        <w:t>pameran industri kreatif, dekranasda dan pekan raya sulsel.</w:t>
      </w:r>
    </w:p>
    <w:p>
      <w:pPr>
        <w:pStyle w:val="13"/>
        <w:numPr>
          <w:ilvl w:val="0"/>
          <w:numId w:val="44"/>
        </w:numPr>
        <w:spacing w:after="0" w:line="360" w:lineRule="auto"/>
        <w:ind w:left="1985" w:hanging="425"/>
        <w:jc w:val="both"/>
        <w:rPr>
          <w:rFonts w:hint="default" w:ascii="Cambria" w:hAnsi="Cambria" w:cs="Cambria"/>
          <w:b/>
          <w:color w:val="C00000"/>
          <w:sz w:val="24"/>
          <w:szCs w:val="24"/>
        </w:rPr>
      </w:pPr>
      <w:r>
        <w:rPr>
          <w:rFonts w:hint="default" w:ascii="Cambria" w:hAnsi="Cambria" w:cs="Cambria"/>
          <w:color w:val="000000" w:themeColor="text1"/>
          <w:sz w:val="24"/>
          <w:szCs w:val="24"/>
          <w:lang w:val="id-ID"/>
          <w14:textFill>
            <w14:solidFill>
              <w14:schemeClr w14:val="tx1"/>
            </w14:solidFill>
          </w14:textFill>
        </w:rPr>
        <w:t xml:space="preserve">Evaluasi terhadap Pelaksanaan Rencana Pembangunan </w:t>
      </w:r>
      <w:r>
        <w:rPr>
          <w:rFonts w:hint="default" w:ascii="Cambria" w:hAnsi="Cambria" w:cs="Cambria"/>
          <w:bCs/>
          <w:color w:val="000000" w:themeColor="text1"/>
          <w:sz w:val="24"/>
          <w:szCs w:val="24"/>
          <w14:textFill>
            <w14:solidFill>
              <w14:schemeClr w14:val="tx1"/>
            </w14:solidFill>
          </w14:textFill>
        </w:rPr>
        <w:t>KIS ( Kawasan Industri Selayar ) serta KIPT ( Kawasan Industri Perikanan Terpadu )</w:t>
      </w:r>
      <w:r>
        <w:rPr>
          <w:rFonts w:hint="default" w:ascii="Cambria" w:hAnsi="Cambria" w:cs="Cambria"/>
          <w:color w:val="000000" w:themeColor="text1"/>
          <w:sz w:val="24"/>
          <w:szCs w:val="24"/>
          <w14:textFill>
            <w14:solidFill>
              <w14:schemeClr w14:val="tx1"/>
            </w14:solidFill>
          </w14:textFill>
        </w:rPr>
        <w:t>, output pelaksanaan workshop penyusunan rencana pebangunan multi moda transportation dan mekanisme pembebasan lahan untuk kawasan</w:t>
      </w:r>
    </w:p>
    <w:p>
      <w:pPr>
        <w:pStyle w:val="13"/>
        <w:spacing w:after="0" w:line="360" w:lineRule="auto"/>
        <w:ind w:left="0"/>
        <w:jc w:val="both"/>
        <w:rPr>
          <w:rFonts w:hint="default" w:ascii="Cambria" w:hAnsi="Cambria" w:cs="Cambria"/>
          <w:b/>
          <w:sz w:val="24"/>
          <w:szCs w:val="24"/>
        </w:rPr>
      </w:pPr>
    </w:p>
    <w:p>
      <w:pPr>
        <w:pStyle w:val="13"/>
        <w:numPr>
          <w:ilvl w:val="1"/>
          <w:numId w:val="43"/>
        </w:numPr>
        <w:spacing w:after="0" w:line="360" w:lineRule="auto"/>
        <w:ind w:left="1560" w:hanging="709"/>
        <w:jc w:val="both"/>
        <w:rPr>
          <w:rFonts w:hint="default" w:ascii="Cambria" w:hAnsi="Cambria" w:cs="Cambria"/>
          <w:b/>
          <w:sz w:val="24"/>
          <w:szCs w:val="24"/>
        </w:rPr>
      </w:pPr>
      <w:r>
        <w:rPr>
          <w:rFonts w:hint="default" w:ascii="Cambria" w:hAnsi="Cambria" w:cs="Cambria"/>
          <w:b/>
          <w:color w:val="000000"/>
          <w:sz w:val="24"/>
          <w:szCs w:val="24"/>
        </w:rPr>
        <w:t>Jumlah peningkatan unit usaha industri unggulan daerah</w:t>
      </w:r>
    </w:p>
    <w:p>
      <w:pPr>
        <w:pStyle w:val="13"/>
        <w:spacing w:line="360" w:lineRule="auto"/>
        <w:ind w:left="1560"/>
        <w:jc w:val="both"/>
        <w:rPr>
          <w:rFonts w:hint="default" w:ascii="Cambria" w:hAnsi="Cambria" w:cs="Cambria"/>
          <w:color w:val="000000" w:themeColor="text1"/>
          <w:sz w:val="24"/>
          <w:szCs w:val="24"/>
          <w14:textFill>
            <w14:solidFill>
              <w14:schemeClr w14:val="tx1"/>
            </w14:solidFill>
          </w14:textFill>
        </w:rPr>
      </w:pPr>
      <w:r>
        <w:rPr>
          <w:rFonts w:hint="default" w:ascii="Cambria" w:hAnsi="Cambria" w:cs="Cambria"/>
          <w:sz w:val="24"/>
          <w:szCs w:val="24"/>
        </w:rPr>
        <w:t>P</w:t>
      </w:r>
      <w:r>
        <w:rPr>
          <w:rFonts w:hint="default" w:ascii="Cambria" w:hAnsi="Cambria" w:cs="Cambria"/>
          <w:color w:val="000000" w:themeColor="text1"/>
          <w:sz w:val="24"/>
          <w:szCs w:val="24"/>
          <w14:textFill>
            <w14:solidFill>
              <w14:schemeClr w14:val="tx1"/>
            </w14:solidFill>
          </w14:textFill>
        </w:rPr>
        <w:t>Peningkatan unit usaha industri unggulan daerah didukung oleh Program Pe</w:t>
      </w:r>
      <w:r>
        <w:rPr>
          <w:rFonts w:hint="default" w:ascii="Cambria" w:hAnsi="Cambria" w:cs="Cambria"/>
          <w:color w:val="000000" w:themeColor="text1"/>
          <w:sz w:val="24"/>
          <w:szCs w:val="24"/>
          <w:lang w:val="en-US"/>
          <w14:textFill>
            <w14:solidFill>
              <w14:schemeClr w14:val="tx1"/>
            </w14:solidFill>
          </w14:textFill>
        </w:rPr>
        <w:t>ngedalian izin usaha industri kabupaten/kota</w:t>
      </w:r>
      <w:r>
        <w:rPr>
          <w:rFonts w:hint="default" w:ascii="Cambria" w:hAnsi="Cambria" w:cs="Cambria"/>
          <w:color w:val="000000" w:themeColor="text1"/>
          <w:sz w:val="24"/>
          <w:szCs w:val="24"/>
          <w14:textFill>
            <w14:solidFill>
              <w14:schemeClr w14:val="tx1"/>
            </w14:solidFill>
          </w14:textFill>
        </w:rPr>
        <w:t>, dengan kegiatan :</w:t>
      </w:r>
    </w:p>
    <w:p>
      <w:pPr>
        <w:pStyle w:val="13"/>
        <w:spacing w:after="0" w:line="360" w:lineRule="auto"/>
        <w:ind w:left="1560"/>
        <w:jc w:val="both"/>
        <w:rPr>
          <w:rFonts w:hint="default" w:ascii="Cambria" w:hAnsi="Cambria" w:cs="Cambria"/>
          <w:sz w:val="24"/>
          <w:szCs w:val="24"/>
        </w:rPr>
      </w:pPr>
      <w:r>
        <w:rPr>
          <w:rFonts w:hint="default" w:ascii="Cambria" w:hAnsi="Cambria" w:cs="Cambria"/>
          <w:bCs/>
          <w:color w:val="000000" w:themeColor="text1"/>
          <w:sz w:val="24"/>
          <w:szCs w:val="24"/>
          <w:lang w:val="en-US"/>
          <w14:textFill>
            <w14:solidFill>
              <w14:schemeClr w14:val="tx1"/>
            </w14:solidFill>
          </w14:textFill>
        </w:rPr>
        <w:t>Koordinasi dan sinkronisasi pengwasan perizinan di bidang industri dalam lingkup IUI, IPUI, IUKI, dan IPKI kewenangan kabupaten/kota  output pembangunan sentra pengolahan ikan di kecamatan bontoharu dengan anggaran sebesar Rp. 6.409.581.125  dan capaian sebesar 100 %.</w:t>
      </w:r>
    </w:p>
    <w:p>
      <w:pPr>
        <w:spacing w:after="0" w:line="360" w:lineRule="auto"/>
        <w:jc w:val="both"/>
        <w:rPr>
          <w:rFonts w:hint="default" w:ascii="Cambria" w:hAnsi="Cambria" w:cs="Cambria"/>
          <w:b/>
          <w:sz w:val="24"/>
          <w:szCs w:val="24"/>
        </w:rPr>
      </w:pPr>
    </w:p>
    <w:p>
      <w:pPr>
        <w:pStyle w:val="13"/>
        <w:numPr>
          <w:ilvl w:val="1"/>
          <w:numId w:val="43"/>
        </w:numPr>
        <w:spacing w:after="0" w:line="360" w:lineRule="auto"/>
        <w:ind w:left="1560" w:hanging="709"/>
        <w:jc w:val="both"/>
        <w:rPr>
          <w:rFonts w:hint="default" w:ascii="Cambria" w:hAnsi="Cambria" w:cs="Cambria"/>
          <w:b/>
          <w:sz w:val="24"/>
          <w:szCs w:val="24"/>
        </w:rPr>
      </w:pPr>
      <w:r>
        <w:rPr>
          <w:rFonts w:hint="default" w:ascii="Cambria" w:hAnsi="Cambria" w:cs="Cambria"/>
          <w:b/>
          <w:sz w:val="24"/>
          <w:szCs w:val="24"/>
        </w:rPr>
        <w:t>Pasar Dalam Kondisi Baik</w:t>
      </w:r>
    </w:p>
    <w:p>
      <w:pPr>
        <w:pStyle w:val="13"/>
        <w:spacing w:after="0" w:line="360" w:lineRule="auto"/>
        <w:ind w:left="1560"/>
        <w:jc w:val="both"/>
        <w:rPr>
          <w:rFonts w:hint="default" w:ascii="Cambria" w:hAnsi="Cambria" w:cs="Cambria"/>
          <w:sz w:val="24"/>
          <w:szCs w:val="24"/>
        </w:rPr>
      </w:pPr>
      <w:r>
        <w:rPr>
          <w:rFonts w:hint="default" w:ascii="Cambria" w:hAnsi="Cambria" w:cs="Cambria"/>
          <w:sz w:val="24"/>
          <w:szCs w:val="24"/>
        </w:rPr>
        <w:t>Pasar rakyat dalam kondisi baik</w:t>
      </w:r>
      <w:r>
        <w:rPr>
          <w:rFonts w:hint="default" w:ascii="Cambria" w:hAnsi="Cambria" w:cs="Cambria"/>
          <w:color w:val="FF0000"/>
          <w:sz w:val="24"/>
          <w:szCs w:val="24"/>
          <w:lang w:val="id-ID"/>
        </w:rPr>
        <w:t xml:space="preserve"> </w:t>
      </w:r>
      <w:r>
        <w:rPr>
          <w:rFonts w:hint="default" w:ascii="Cambria" w:hAnsi="Cambria" w:cs="Cambria"/>
          <w:sz w:val="24"/>
          <w:szCs w:val="24"/>
        </w:rPr>
        <w:t>didukung dengan Program Sarana Distribusi Perdagangan dengan kegiatan :</w:t>
      </w:r>
    </w:p>
    <w:p>
      <w:pPr>
        <w:pStyle w:val="13"/>
        <w:numPr>
          <w:ilvl w:val="0"/>
          <w:numId w:val="45"/>
        </w:numPr>
        <w:spacing w:after="0" w:line="360" w:lineRule="auto"/>
        <w:jc w:val="both"/>
        <w:rPr>
          <w:rFonts w:hint="default" w:ascii="Cambria" w:hAnsi="Cambria" w:cs="Cambria"/>
          <w:sz w:val="24"/>
          <w:szCs w:val="24"/>
          <w:lang w:val="en-US"/>
        </w:rPr>
      </w:pPr>
      <w:r>
        <w:rPr>
          <w:rFonts w:hint="default" w:ascii="Cambria" w:hAnsi="Cambria" w:cs="Cambria"/>
          <w:sz w:val="24"/>
          <w:szCs w:val="24"/>
        </w:rPr>
        <w:t>Pembangunan dan Pengelolaan Sarana Distribusi Perdagangan dengan output fasilitasi pengelolaan sarana distribusi perdagangan, peningkatan distribusi barang/jasa dan memfasilitasi pembentukan forum komunikasi antar pelaku usaha dan pihak buyer.</w:t>
      </w:r>
    </w:p>
    <w:p>
      <w:pPr>
        <w:pStyle w:val="13"/>
        <w:numPr>
          <w:ilvl w:val="0"/>
          <w:numId w:val="0"/>
        </w:numPr>
        <w:spacing w:after="0" w:line="360" w:lineRule="auto"/>
        <w:ind w:left="1980" w:leftChars="900" w:firstLine="715" w:firstLineChars="0"/>
        <w:jc w:val="both"/>
        <w:rPr>
          <w:rFonts w:hint="default" w:ascii="Cambria" w:hAnsi="Cambria" w:cs="Cambria"/>
          <w:sz w:val="24"/>
          <w:szCs w:val="24"/>
        </w:rPr>
      </w:pPr>
      <w:r>
        <w:rPr>
          <w:rFonts w:hint="default" w:ascii="Cambria" w:hAnsi="Cambria" w:cs="Cambria"/>
          <w:sz w:val="24"/>
          <w:szCs w:val="24"/>
        </w:rPr>
        <w:t xml:space="preserve">Penyerahan hibah Pasar </w:t>
      </w:r>
      <w:r>
        <w:rPr>
          <w:rFonts w:hint="default" w:ascii="Cambria" w:hAnsi="Cambria" w:cs="Cambria"/>
          <w:sz w:val="24"/>
          <w:szCs w:val="24"/>
          <w:lang w:val="en-US"/>
        </w:rPr>
        <w:t>Rakyat Pasimarannu</w:t>
      </w:r>
      <w:r>
        <w:rPr>
          <w:rFonts w:hint="default" w:ascii="Cambria" w:hAnsi="Cambria" w:cs="Cambria"/>
          <w:sz w:val="24"/>
          <w:szCs w:val="24"/>
        </w:rPr>
        <w:t xml:space="preserve"> dan Pasar </w:t>
      </w:r>
      <w:r>
        <w:rPr>
          <w:rFonts w:hint="default" w:ascii="Cambria" w:hAnsi="Cambria" w:cs="Cambria"/>
          <w:sz w:val="24"/>
          <w:szCs w:val="24"/>
          <w:lang w:val="en-US"/>
        </w:rPr>
        <w:t>Rakyat Pasimasunggu Timur</w:t>
      </w:r>
      <w:r>
        <w:rPr>
          <w:rFonts w:hint="default" w:ascii="Cambria" w:hAnsi="Cambria" w:cs="Cambria"/>
          <w:sz w:val="24"/>
          <w:szCs w:val="24"/>
        </w:rPr>
        <w:t xml:space="preserve"> sekaligus pemberian penghargaan atas partisipasi pembangunan pasar oleh pihak Kementrian Dalam Negeri</w:t>
      </w:r>
    </w:p>
    <w:p>
      <w:pPr>
        <w:pStyle w:val="13"/>
        <w:numPr>
          <w:ilvl w:val="0"/>
          <w:numId w:val="0"/>
        </w:numPr>
        <w:spacing w:after="0" w:line="360" w:lineRule="auto"/>
        <w:ind w:left="1980" w:leftChars="900" w:firstLine="715" w:firstLineChars="0"/>
        <w:jc w:val="both"/>
        <w:rPr>
          <w:rFonts w:hint="default" w:ascii="Cambria" w:hAnsi="Cambria" w:cs="Cambria"/>
          <w:sz w:val="24"/>
          <w:szCs w:val="24"/>
        </w:rPr>
      </w:pPr>
      <w:r>
        <w:rPr>
          <w:rFonts w:hint="default" w:ascii="Cambria" w:hAnsi="Cambria" w:cs="Cambria"/>
          <w:sz w:val="24"/>
          <w:szCs w:val="24"/>
        </w:rPr>
        <w:drawing>
          <wp:anchor distT="0" distB="0" distL="114300" distR="114300" simplePos="0" relativeHeight="251675648" behindDoc="0" locked="0" layoutInCell="1" allowOverlap="1">
            <wp:simplePos x="0" y="0"/>
            <wp:positionH relativeFrom="column">
              <wp:posOffset>2551430</wp:posOffset>
            </wp:positionH>
            <wp:positionV relativeFrom="paragraph">
              <wp:posOffset>2540</wp:posOffset>
            </wp:positionV>
            <wp:extent cx="1407160" cy="1734820"/>
            <wp:effectExtent l="9525" t="9525" r="12065" b="2730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a:extLst>
                        <a:ext uri="{28A0092B-C50C-407E-A947-70E740481C1C}">
                          <a14:useLocalDpi xmlns:a14="http://schemas.microsoft.com/office/drawing/2010/main" val="0"/>
                        </a:ext>
                      </a:extLst>
                    </a:blip>
                    <a:srcRect l="446" t="27466" r="22543" b="19316"/>
                    <a:stretch>
                      <a:fillRect/>
                    </a:stretch>
                  </pic:blipFill>
                  <pic:spPr>
                    <a:xfrm>
                      <a:off x="0" y="0"/>
                      <a:ext cx="1407160" cy="1734820"/>
                    </a:xfrm>
                    <a:prstGeom prst="rect">
                      <a:avLst/>
                    </a:prstGeom>
                    <a:noFill/>
                    <a:ln w="9525">
                      <a:solidFill>
                        <a:srgbClr val="C00000"/>
                      </a:solidFill>
                      <a:miter lim="800000"/>
                      <a:headEnd/>
                      <a:tailEnd/>
                    </a:ln>
                  </pic:spPr>
                </pic:pic>
              </a:graphicData>
            </a:graphic>
          </wp:anchor>
        </w:drawing>
      </w:r>
    </w:p>
    <w:p>
      <w:pPr>
        <w:pStyle w:val="13"/>
        <w:numPr>
          <w:ilvl w:val="0"/>
          <w:numId w:val="0"/>
        </w:numPr>
        <w:spacing w:after="0" w:line="360" w:lineRule="auto"/>
        <w:ind w:left="1980" w:leftChars="900" w:firstLine="715" w:firstLineChars="0"/>
        <w:jc w:val="both"/>
        <w:rPr>
          <w:rFonts w:hint="default" w:ascii="Cambria" w:hAnsi="Cambria" w:cs="Cambria"/>
          <w:sz w:val="24"/>
          <w:szCs w:val="24"/>
        </w:rPr>
      </w:pPr>
    </w:p>
    <w:p>
      <w:pPr>
        <w:pStyle w:val="13"/>
        <w:numPr>
          <w:ilvl w:val="0"/>
          <w:numId w:val="0"/>
        </w:numPr>
        <w:spacing w:after="0" w:line="360" w:lineRule="auto"/>
        <w:ind w:left="1980" w:leftChars="900" w:firstLine="715" w:firstLineChars="0"/>
        <w:jc w:val="both"/>
        <w:rPr>
          <w:rFonts w:hint="default" w:ascii="Cambria" w:hAnsi="Cambria" w:cs="Cambria"/>
          <w:sz w:val="24"/>
          <w:szCs w:val="24"/>
        </w:rPr>
      </w:pPr>
    </w:p>
    <w:p>
      <w:pPr>
        <w:pStyle w:val="13"/>
        <w:numPr>
          <w:ilvl w:val="0"/>
          <w:numId w:val="0"/>
        </w:numPr>
        <w:spacing w:after="0" w:line="360" w:lineRule="auto"/>
        <w:ind w:left="1980" w:leftChars="900" w:firstLine="715" w:firstLineChars="0"/>
        <w:jc w:val="both"/>
        <w:rPr>
          <w:rFonts w:hint="default" w:ascii="Cambria" w:hAnsi="Cambria" w:cs="Cambria"/>
          <w:sz w:val="24"/>
          <w:szCs w:val="24"/>
        </w:rPr>
      </w:pPr>
    </w:p>
    <w:p>
      <w:pPr>
        <w:spacing w:after="0" w:line="360" w:lineRule="auto"/>
        <w:jc w:val="both"/>
        <w:rPr>
          <w:rFonts w:hint="default" w:ascii="Cambria" w:hAnsi="Cambria" w:cs="Cambria"/>
          <w:b/>
          <w:sz w:val="24"/>
          <w:szCs w:val="24"/>
        </w:rPr>
      </w:pPr>
    </w:p>
    <w:p>
      <w:pPr>
        <w:spacing w:after="0" w:line="360" w:lineRule="auto"/>
        <w:jc w:val="both"/>
        <w:rPr>
          <w:rFonts w:hint="default" w:ascii="Cambria" w:hAnsi="Cambria" w:cs="Cambria"/>
          <w:b/>
          <w:sz w:val="24"/>
          <w:szCs w:val="24"/>
        </w:rPr>
      </w:pPr>
    </w:p>
    <w:p>
      <w:pPr>
        <w:spacing w:after="0" w:line="360" w:lineRule="auto"/>
        <w:jc w:val="both"/>
        <w:rPr>
          <w:rFonts w:hint="default" w:ascii="Cambria" w:hAnsi="Cambria" w:cs="Cambria"/>
          <w:b/>
          <w:sz w:val="24"/>
          <w:szCs w:val="24"/>
          <w:lang w:val="en-US"/>
        </w:rPr>
      </w:pPr>
    </w:p>
    <w:p>
      <w:pPr>
        <w:pStyle w:val="19"/>
        <w:spacing w:line="360" w:lineRule="auto"/>
        <w:ind w:left="1701" w:firstLine="993"/>
        <w:jc w:val="both"/>
        <w:rPr>
          <w:rFonts w:hint="default" w:ascii="Cambria" w:hAnsi="Cambria" w:cs="Cambria"/>
          <w:color w:val="000000" w:themeColor="text1"/>
          <w:sz w:val="24"/>
          <w:szCs w:val="24"/>
          <w14:textFill>
            <w14:solidFill>
              <w14:schemeClr w14:val="tx1"/>
            </w14:solidFill>
          </w14:textFill>
        </w:rPr>
      </w:pPr>
      <w:r>
        <w:rPr>
          <w:rFonts w:hint="default" w:ascii="Cambria" w:hAnsi="Cambria" w:cs="Cambria"/>
          <w:sz w:val="24"/>
          <w:szCs w:val="24"/>
        </w:rPr>
        <w:t xml:space="preserve">Dana APBN untuk tahun 2018-2022, Dinas Perindustrian, Perdagangan, Koperasi Usaha Kecil dan </w:t>
      </w:r>
      <w:r>
        <w:rPr>
          <w:rFonts w:hint="default" w:ascii="Cambria" w:hAnsi="Cambria" w:cs="Cambria"/>
          <w:color w:val="000000" w:themeColor="text1"/>
          <w:sz w:val="24"/>
          <w:szCs w:val="24"/>
          <w14:textFill>
            <w14:solidFill>
              <w14:schemeClr w14:val="tx1"/>
            </w14:solidFill>
          </w14:textFill>
        </w:rPr>
        <w:t>Menengah telah mendapatkan Tugas Pembantuan Pasar Rakyat sebayak 10 (Sepuluh) pasar di 9 kecamatan yakni Kecamatan Pasilambena, Kecamatan Benteng, Kecamatan Taka Bonerate, Kecamatan Bontosikuyu, Kecamatan Bontomanain, Kecamatan Bontomatene, Kecamatan Pasimarannu dan Kecamatan Pasimasunggu Timur,  tahun 2022 diamanahkan 2 dana Tugas Pembantuan di 2 (dua) kecamatan, yakni :</w:t>
      </w:r>
    </w:p>
    <w:p>
      <w:pPr>
        <w:pStyle w:val="19"/>
        <w:numPr>
          <w:ilvl w:val="0"/>
          <w:numId w:val="46"/>
        </w:numPr>
        <w:spacing w:line="360" w:lineRule="auto"/>
        <w:ind w:left="2127" w:hanging="426"/>
        <w:jc w:val="both"/>
        <w:rPr>
          <w:rFonts w:hint="default" w:ascii="Cambria" w:hAnsi="Cambria" w:cs="Cambria"/>
          <w:color w:val="000000" w:themeColor="text1"/>
          <w:sz w:val="24"/>
          <w:szCs w:val="24"/>
          <w14:textFill>
            <w14:solidFill>
              <w14:schemeClr w14:val="tx1"/>
            </w14:solidFill>
          </w14:textFill>
        </w:rPr>
      </w:pPr>
      <w:r>
        <w:rPr>
          <w:rFonts w:hint="default" w:ascii="Cambria" w:hAnsi="Cambria" w:cs="Cambria"/>
          <w:color w:val="000000" w:themeColor="text1"/>
          <w:sz w:val="24"/>
          <w:szCs w:val="24"/>
          <w14:textFill>
            <w14:solidFill>
              <w14:schemeClr w14:val="tx1"/>
            </w14:solidFill>
          </w14:textFill>
        </w:rPr>
        <w:t>Pasar Rakyat Pasimarannu di Kecamatan Pasimarannu dengan anggaran  sebesar Rp. 2.801.100.000,-</w:t>
      </w:r>
    </w:p>
    <w:p>
      <w:pPr>
        <w:pStyle w:val="19"/>
        <w:numPr>
          <w:ilvl w:val="0"/>
          <w:numId w:val="0"/>
        </w:numPr>
        <w:spacing w:line="360" w:lineRule="auto"/>
        <w:ind w:left="1701" w:leftChars="0"/>
        <w:jc w:val="both"/>
        <w:rPr>
          <w:rFonts w:hint="default" w:ascii="Cambria" w:hAnsi="Cambria" w:cs="Cambria"/>
          <w:color w:val="C00000"/>
          <w:sz w:val="24"/>
          <w:szCs w:val="24"/>
        </w:rPr>
      </w:pPr>
      <w:r>
        <w:rPr>
          <w:rFonts w:hint="default" w:ascii="Cambria" w:hAnsi="Cambria" w:cs="Cambria"/>
          <w:sz w:val="24"/>
          <w:szCs w:val="24"/>
        </w:rPr>
        <w:drawing>
          <wp:anchor distT="0" distB="0" distL="114300" distR="114300" simplePos="0" relativeHeight="251676672" behindDoc="0" locked="0" layoutInCell="1" allowOverlap="1">
            <wp:simplePos x="0" y="0"/>
            <wp:positionH relativeFrom="column">
              <wp:posOffset>1628775</wp:posOffset>
            </wp:positionH>
            <wp:positionV relativeFrom="paragraph">
              <wp:posOffset>85090</wp:posOffset>
            </wp:positionV>
            <wp:extent cx="3007995" cy="1917065"/>
            <wp:effectExtent l="9525" t="9525" r="11430" b="1651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t="15059"/>
                    <a:stretch>
                      <a:fillRect/>
                    </a:stretch>
                  </pic:blipFill>
                  <pic:spPr>
                    <a:xfrm>
                      <a:off x="0" y="0"/>
                      <a:ext cx="3007995" cy="1917065"/>
                    </a:xfrm>
                    <a:prstGeom prst="rect">
                      <a:avLst/>
                    </a:prstGeom>
                    <a:noFill/>
                    <a:ln w="9525">
                      <a:solidFill>
                        <a:srgbClr val="C00000"/>
                      </a:solidFill>
                      <a:miter lim="800000"/>
                      <a:headEnd/>
                      <a:tailEnd/>
                    </a:ln>
                  </pic:spPr>
                </pic:pic>
              </a:graphicData>
            </a:graphic>
          </wp:anchor>
        </w:drawing>
      </w:r>
    </w:p>
    <w:p>
      <w:pPr>
        <w:pStyle w:val="19"/>
        <w:spacing w:line="360" w:lineRule="auto"/>
        <w:jc w:val="both"/>
        <w:rPr>
          <w:rFonts w:hint="default" w:ascii="Cambria" w:hAnsi="Cambria" w:cs="Cambria"/>
          <w:sz w:val="24"/>
          <w:szCs w:val="24"/>
        </w:rPr>
      </w:pPr>
    </w:p>
    <w:p>
      <w:pPr>
        <w:pStyle w:val="19"/>
        <w:spacing w:line="360" w:lineRule="auto"/>
        <w:jc w:val="both"/>
        <w:rPr>
          <w:rFonts w:hint="default" w:ascii="Cambria" w:hAnsi="Cambria" w:cs="Cambria"/>
          <w:sz w:val="24"/>
          <w:szCs w:val="24"/>
        </w:rPr>
      </w:pPr>
    </w:p>
    <w:p>
      <w:pPr>
        <w:pStyle w:val="19"/>
        <w:spacing w:line="360" w:lineRule="auto"/>
        <w:jc w:val="both"/>
        <w:rPr>
          <w:rFonts w:hint="default" w:ascii="Cambria" w:hAnsi="Cambria" w:cs="Cambria"/>
          <w:sz w:val="24"/>
          <w:szCs w:val="24"/>
        </w:rPr>
      </w:pPr>
    </w:p>
    <w:p>
      <w:pPr>
        <w:pStyle w:val="19"/>
        <w:spacing w:line="360" w:lineRule="auto"/>
        <w:jc w:val="both"/>
        <w:rPr>
          <w:rFonts w:hint="default" w:ascii="Cambria" w:hAnsi="Cambria" w:cs="Cambria"/>
          <w:sz w:val="24"/>
          <w:szCs w:val="24"/>
        </w:rPr>
      </w:pPr>
    </w:p>
    <w:p>
      <w:pPr>
        <w:pStyle w:val="19"/>
        <w:spacing w:line="360" w:lineRule="auto"/>
        <w:jc w:val="both"/>
        <w:rPr>
          <w:rFonts w:hint="default" w:ascii="Cambria" w:hAnsi="Cambria" w:cs="Cambria"/>
          <w:sz w:val="24"/>
          <w:szCs w:val="24"/>
        </w:rPr>
      </w:pPr>
    </w:p>
    <w:p>
      <w:pPr>
        <w:pStyle w:val="19"/>
        <w:spacing w:line="360" w:lineRule="auto"/>
        <w:jc w:val="both"/>
        <w:rPr>
          <w:rFonts w:hint="default" w:ascii="Cambria" w:hAnsi="Cambria" w:cs="Cambria"/>
          <w:sz w:val="24"/>
          <w:szCs w:val="24"/>
        </w:rPr>
      </w:pPr>
    </w:p>
    <w:p>
      <w:pPr>
        <w:pStyle w:val="19"/>
        <w:spacing w:line="360" w:lineRule="auto"/>
        <w:jc w:val="both"/>
        <w:rPr>
          <w:rFonts w:hint="default" w:ascii="Cambria" w:hAnsi="Cambria" w:cs="Cambria"/>
          <w:color w:val="C00000"/>
          <w:sz w:val="24"/>
          <w:szCs w:val="24"/>
        </w:rPr>
      </w:pPr>
    </w:p>
    <w:p>
      <w:pPr>
        <w:pStyle w:val="19"/>
        <w:numPr>
          <w:ilvl w:val="0"/>
          <w:numId w:val="46"/>
        </w:numPr>
        <w:spacing w:line="360" w:lineRule="auto"/>
        <w:ind w:left="2127" w:hanging="426"/>
        <w:jc w:val="both"/>
        <w:rPr>
          <w:rFonts w:hint="default" w:ascii="Cambria" w:hAnsi="Cambria" w:cs="Cambria"/>
          <w:color w:val="000000" w:themeColor="text1"/>
          <w:sz w:val="24"/>
          <w:szCs w:val="24"/>
          <w14:textFill>
            <w14:solidFill>
              <w14:schemeClr w14:val="tx1"/>
            </w14:solidFill>
          </w14:textFill>
        </w:rPr>
      </w:pPr>
      <w:r>
        <w:rPr>
          <w:rFonts w:hint="default" w:ascii="Cambria" w:hAnsi="Cambria" w:cs="Cambria"/>
          <w:color w:val="000000" w:themeColor="text1"/>
          <w:sz w:val="24"/>
          <w:szCs w:val="24"/>
          <w14:textFill>
            <w14:solidFill>
              <w14:schemeClr w14:val="tx1"/>
            </w14:solidFill>
          </w14:textFill>
        </w:rPr>
        <w:t>Pasar Rakyat Pasimasunngu Timur di Kecamatan Pasimasunggu Timur dengan anggaran sebesar Rp. 2.800.910.000,-</w:t>
      </w:r>
    </w:p>
    <w:p>
      <w:pPr>
        <w:pStyle w:val="19"/>
        <w:spacing w:line="360" w:lineRule="auto"/>
        <w:jc w:val="both"/>
        <w:rPr>
          <w:rFonts w:hint="default" w:ascii="Cambria" w:hAnsi="Cambria" w:cs="Cambria"/>
          <w:sz w:val="24"/>
          <w:szCs w:val="24"/>
        </w:rPr>
      </w:pPr>
      <w:r>
        <w:rPr>
          <w:rFonts w:hint="default" w:ascii="Cambria" w:hAnsi="Cambria" w:cs="Cambria"/>
          <w:sz w:val="24"/>
          <w:szCs w:val="24"/>
        </w:rPr>
        <w:drawing>
          <wp:anchor distT="0" distB="0" distL="114300" distR="114300" simplePos="0" relativeHeight="251678720" behindDoc="0" locked="0" layoutInCell="1" allowOverlap="1">
            <wp:simplePos x="0" y="0"/>
            <wp:positionH relativeFrom="column">
              <wp:posOffset>2457450</wp:posOffset>
            </wp:positionH>
            <wp:positionV relativeFrom="paragraph">
              <wp:posOffset>14605</wp:posOffset>
            </wp:positionV>
            <wp:extent cx="2607945" cy="2286000"/>
            <wp:effectExtent l="9525" t="9525" r="11430" b="952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607945" cy="2286000"/>
                    </a:xfrm>
                    <a:prstGeom prst="rect">
                      <a:avLst/>
                    </a:prstGeom>
                    <a:noFill/>
                    <a:ln w="9525">
                      <a:solidFill>
                        <a:srgbClr val="C00000"/>
                      </a:solidFill>
                      <a:miter lim="800000"/>
                      <a:headEnd/>
                      <a:tailEnd/>
                    </a:ln>
                  </pic:spPr>
                </pic:pic>
              </a:graphicData>
            </a:graphic>
          </wp:anchor>
        </w:drawing>
      </w:r>
      <w:r>
        <w:rPr>
          <w:rFonts w:hint="default" w:ascii="Cambria" w:hAnsi="Cambria" w:cs="Cambria"/>
          <w:sz w:val="24"/>
          <w:szCs w:val="24"/>
        </w:rPr>
        <w:drawing>
          <wp:anchor distT="0" distB="0" distL="114300" distR="114300" simplePos="0" relativeHeight="251677696" behindDoc="0" locked="0" layoutInCell="1" allowOverlap="1">
            <wp:simplePos x="0" y="0"/>
            <wp:positionH relativeFrom="column">
              <wp:posOffset>648335</wp:posOffset>
            </wp:positionH>
            <wp:positionV relativeFrom="paragraph">
              <wp:posOffset>13970</wp:posOffset>
            </wp:positionV>
            <wp:extent cx="1765300" cy="2291715"/>
            <wp:effectExtent l="9525" t="9525" r="15875" b="2286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8">
                      <a:extLst>
                        <a:ext uri="{28A0092B-C50C-407E-A947-70E740481C1C}">
                          <a14:useLocalDpi xmlns:a14="http://schemas.microsoft.com/office/drawing/2010/main" val="0"/>
                        </a:ext>
                      </a:extLst>
                    </a:blip>
                    <a:srcRect t="4970" b="16199"/>
                    <a:stretch>
                      <a:fillRect/>
                    </a:stretch>
                  </pic:blipFill>
                  <pic:spPr>
                    <a:xfrm>
                      <a:off x="0" y="0"/>
                      <a:ext cx="1765300" cy="2291715"/>
                    </a:xfrm>
                    <a:prstGeom prst="rect">
                      <a:avLst/>
                    </a:prstGeom>
                    <a:noFill/>
                    <a:ln w="9525">
                      <a:solidFill>
                        <a:srgbClr val="C00000"/>
                      </a:solidFill>
                      <a:miter lim="800000"/>
                      <a:headEnd/>
                      <a:tailEnd/>
                    </a:ln>
                  </pic:spPr>
                </pic:pic>
              </a:graphicData>
            </a:graphic>
          </wp:anchor>
        </w:drawing>
      </w:r>
    </w:p>
    <w:p>
      <w:pPr>
        <w:spacing w:after="0" w:line="360" w:lineRule="auto"/>
        <w:jc w:val="both"/>
        <w:rPr>
          <w:rFonts w:hint="default" w:ascii="Cambria" w:hAnsi="Cambria" w:eastAsia="Times New Roman" w:cs="Cambria"/>
          <w:color w:val="000000"/>
          <w:sz w:val="24"/>
          <w:szCs w:val="24"/>
          <w:lang w:eastAsia="id-ID"/>
        </w:rPr>
      </w:pPr>
    </w:p>
    <w:p>
      <w:pPr>
        <w:spacing w:after="0" w:line="360" w:lineRule="auto"/>
        <w:jc w:val="both"/>
        <w:rPr>
          <w:rFonts w:hint="default" w:ascii="Cambria" w:hAnsi="Cambria" w:eastAsia="Times New Roman" w:cs="Cambria"/>
          <w:color w:val="000000"/>
          <w:sz w:val="24"/>
          <w:szCs w:val="24"/>
          <w:lang w:eastAsia="id-ID"/>
        </w:rPr>
      </w:pPr>
    </w:p>
    <w:p>
      <w:pPr>
        <w:spacing w:after="0" w:line="360" w:lineRule="auto"/>
        <w:jc w:val="both"/>
        <w:rPr>
          <w:rFonts w:hint="default" w:ascii="Cambria" w:hAnsi="Cambria" w:eastAsia="Times New Roman" w:cs="Cambria"/>
          <w:color w:val="000000"/>
          <w:sz w:val="24"/>
          <w:szCs w:val="24"/>
          <w:lang w:eastAsia="id-ID"/>
        </w:rPr>
      </w:pPr>
    </w:p>
    <w:p>
      <w:pPr>
        <w:spacing w:after="0" w:line="360" w:lineRule="auto"/>
        <w:jc w:val="both"/>
        <w:rPr>
          <w:rFonts w:hint="default" w:ascii="Cambria" w:hAnsi="Cambria" w:eastAsia="Times New Roman" w:cs="Cambria"/>
          <w:color w:val="000000"/>
          <w:sz w:val="24"/>
          <w:szCs w:val="24"/>
          <w:lang w:eastAsia="id-ID"/>
        </w:rPr>
      </w:pPr>
    </w:p>
    <w:p>
      <w:pPr>
        <w:spacing w:after="0" w:line="360" w:lineRule="auto"/>
        <w:jc w:val="both"/>
        <w:rPr>
          <w:rFonts w:hint="default" w:ascii="Cambria" w:hAnsi="Cambria" w:eastAsia="Times New Roman" w:cs="Cambria"/>
          <w:color w:val="000000"/>
          <w:sz w:val="24"/>
          <w:szCs w:val="24"/>
          <w:lang w:eastAsia="id-ID"/>
        </w:rPr>
      </w:pPr>
    </w:p>
    <w:p>
      <w:pPr>
        <w:spacing w:after="0" w:line="360" w:lineRule="auto"/>
        <w:jc w:val="both"/>
        <w:rPr>
          <w:rFonts w:hint="default" w:ascii="Cambria" w:hAnsi="Cambria" w:eastAsia="Times New Roman" w:cs="Cambria"/>
          <w:color w:val="000000"/>
          <w:sz w:val="24"/>
          <w:szCs w:val="24"/>
          <w:lang w:eastAsia="id-ID"/>
        </w:rPr>
      </w:pPr>
    </w:p>
    <w:p>
      <w:pPr>
        <w:spacing w:after="0" w:line="360" w:lineRule="auto"/>
        <w:jc w:val="both"/>
        <w:rPr>
          <w:rFonts w:hint="default" w:ascii="Cambria" w:hAnsi="Cambria" w:eastAsia="Times New Roman" w:cs="Cambria"/>
          <w:color w:val="000000"/>
          <w:sz w:val="24"/>
          <w:szCs w:val="24"/>
          <w:lang w:eastAsia="id-ID"/>
        </w:rPr>
      </w:pPr>
    </w:p>
    <w:p>
      <w:pPr>
        <w:spacing w:after="0" w:line="360" w:lineRule="auto"/>
        <w:jc w:val="both"/>
        <w:rPr>
          <w:rFonts w:hint="default" w:ascii="Cambria" w:hAnsi="Cambria" w:cs="Cambria"/>
          <w:b/>
          <w:sz w:val="24"/>
          <w:szCs w:val="24"/>
        </w:rPr>
      </w:pPr>
    </w:p>
    <w:p>
      <w:pPr>
        <w:pStyle w:val="13"/>
        <w:numPr>
          <w:ilvl w:val="0"/>
          <w:numId w:val="47"/>
        </w:numPr>
        <w:spacing w:after="0" w:line="360" w:lineRule="auto"/>
        <w:jc w:val="both"/>
        <w:rPr>
          <w:rFonts w:hint="default" w:ascii="Cambria" w:hAnsi="Cambria" w:cs="Cambria"/>
          <w:b/>
          <w:sz w:val="24"/>
          <w:szCs w:val="24"/>
        </w:rPr>
      </w:pPr>
      <w:r>
        <w:rPr>
          <w:rFonts w:hint="default" w:ascii="Cambria" w:hAnsi="Cambria" w:cs="Cambria"/>
          <w:sz w:val="24"/>
          <w:szCs w:val="24"/>
        </w:rPr>
        <w:t xml:space="preserve">Pembinaan Terhadap Pengelola </w:t>
      </w:r>
      <w:r>
        <w:rPr>
          <w:rFonts w:hint="default" w:ascii="Cambria" w:hAnsi="Cambria" w:cs="Cambria"/>
          <w:sz w:val="24"/>
          <w:szCs w:val="24"/>
        </w:rPr>
        <w:t xml:space="preserve">Sarana Distribusi Perdagangan Masyarakat di Wilayah </w:t>
      </w:r>
      <w:r>
        <w:rPr>
          <w:rFonts w:hint="default" w:ascii="Cambria" w:hAnsi="Cambria" w:cs="Cambria"/>
          <w:color w:val="000000" w:themeColor="text1"/>
          <w:sz w:val="24"/>
          <w:szCs w:val="24"/>
          <w14:textFill>
            <w14:solidFill>
              <w14:schemeClr w14:val="tx1"/>
            </w14:solidFill>
          </w14:textFill>
        </w:rPr>
        <w:t>Kecamatan daratan dan kepulauan</w:t>
      </w:r>
      <w:r>
        <w:rPr>
          <w:rFonts w:hint="default" w:ascii="Cambria" w:hAnsi="Cambria" w:cs="Cambria"/>
          <w:sz w:val="24"/>
          <w:szCs w:val="24"/>
        </w:rPr>
        <w:t xml:space="preserve"> dengan output sosialisasi pada </w:t>
      </w:r>
      <w:r>
        <w:rPr>
          <w:rFonts w:hint="default" w:ascii="Cambria" w:hAnsi="Cambria" w:cs="Cambria"/>
          <w:color w:val="000000" w:themeColor="text1"/>
          <w:sz w:val="24"/>
          <w:szCs w:val="24"/>
          <w14:textFill>
            <w14:solidFill>
              <w14:schemeClr w14:val="tx1"/>
            </w14:solidFill>
          </w14:textFill>
        </w:rPr>
        <w:t>70</w:t>
      </w:r>
      <w:r>
        <w:rPr>
          <w:rFonts w:hint="default" w:ascii="Cambria" w:hAnsi="Cambria" w:cs="Cambria"/>
          <w:sz w:val="24"/>
          <w:szCs w:val="24"/>
        </w:rPr>
        <w:t xml:space="preserve"> orang pelaku usaha.</w:t>
      </w:r>
    </w:p>
    <w:p>
      <w:pPr>
        <w:pStyle w:val="13"/>
        <w:spacing w:after="0" w:line="360" w:lineRule="auto"/>
        <w:ind w:left="1560"/>
        <w:jc w:val="both"/>
        <w:rPr>
          <w:rFonts w:hint="default" w:ascii="Cambria" w:hAnsi="Cambria" w:cs="Cambria"/>
          <w:b/>
          <w:sz w:val="24"/>
          <w:szCs w:val="24"/>
        </w:rPr>
      </w:pPr>
    </w:p>
    <w:p>
      <w:pPr>
        <w:pStyle w:val="13"/>
        <w:numPr>
          <w:ilvl w:val="1"/>
          <w:numId w:val="43"/>
        </w:numPr>
        <w:spacing w:after="0" w:line="360" w:lineRule="auto"/>
        <w:ind w:left="1560" w:hanging="709"/>
        <w:jc w:val="both"/>
        <w:rPr>
          <w:rFonts w:hint="default" w:ascii="Cambria" w:hAnsi="Cambria" w:cs="Cambria"/>
          <w:b/>
          <w:sz w:val="24"/>
          <w:szCs w:val="24"/>
        </w:rPr>
      </w:pPr>
      <w:r>
        <w:rPr>
          <w:rFonts w:hint="default" w:ascii="Cambria" w:hAnsi="Cambria" w:cs="Cambria"/>
          <w:b/>
          <w:sz w:val="24"/>
          <w:szCs w:val="24"/>
        </w:rPr>
        <w:t>Jumlah Rekomendasi Izin Usaha Yang Diterbitkan</w:t>
      </w:r>
    </w:p>
    <w:p>
      <w:pPr>
        <w:pStyle w:val="13"/>
        <w:spacing w:after="0" w:line="360" w:lineRule="auto"/>
        <w:ind w:left="1560" w:firstLine="992"/>
        <w:jc w:val="both"/>
        <w:rPr>
          <w:rFonts w:hint="default" w:ascii="Cambria" w:hAnsi="Cambria" w:cs="Cambria"/>
          <w:b/>
          <w:color w:val="C00000"/>
          <w:sz w:val="24"/>
          <w:szCs w:val="24"/>
        </w:rPr>
      </w:pPr>
      <w:r>
        <w:rPr>
          <w:rFonts w:hint="default" w:ascii="Cambria" w:hAnsi="Cambria" w:cs="Cambria"/>
          <w:sz w:val="24"/>
          <w:szCs w:val="24"/>
        </w:rPr>
        <w:t xml:space="preserve">Rekomendasi izin usaha yang diterbitkan oleh Dinas Perindustrian, Perdagangan, Koperasi Usaha Kecil dan Menengah didukung oleh Program Perizinan dan Pendaftaran Perusahaan dengan kegiatan Penerbitan Izin Pengelolaan Pasar Rakyat, Pusat Perbelanjaan, dan Izin Usaha Toko Swalayan, </w:t>
      </w:r>
      <w:r>
        <w:rPr>
          <w:rFonts w:hint="default" w:ascii="Cambria" w:hAnsi="Cambria" w:cs="Cambria"/>
          <w:color w:val="000000" w:themeColor="text1"/>
          <w:sz w:val="24"/>
          <w:szCs w:val="24"/>
          <w14:textFill>
            <w14:solidFill>
              <w14:schemeClr w14:val="tx1"/>
            </w14:solidFill>
          </w14:textFill>
        </w:rPr>
        <w:t>output terbitnya 1</w:t>
      </w:r>
      <w:r>
        <w:rPr>
          <w:rFonts w:hint="default" w:ascii="Cambria" w:hAnsi="Cambria" w:cs="Cambria"/>
          <w:color w:val="000000" w:themeColor="text1"/>
          <w:sz w:val="24"/>
          <w:szCs w:val="24"/>
          <w:lang w:val="en-US"/>
          <w14:textFill>
            <w14:solidFill>
              <w14:schemeClr w14:val="tx1"/>
            </w14:solidFill>
          </w14:textFill>
        </w:rPr>
        <w:t>23</w:t>
      </w:r>
      <w:r>
        <w:rPr>
          <w:rFonts w:hint="default" w:ascii="Cambria" w:hAnsi="Cambria" w:cs="Cambria"/>
          <w:color w:val="000000" w:themeColor="text1"/>
          <w:sz w:val="24"/>
          <w:szCs w:val="24"/>
          <w14:textFill>
            <w14:solidFill>
              <w14:schemeClr w14:val="tx1"/>
            </w14:solidFill>
          </w14:textFill>
        </w:rPr>
        <w:t>2 Rekomendasi dari 11 (sebelas) kecamatan di Kabupaten Kepulauan Selayar.</w:t>
      </w:r>
    </w:p>
    <w:p>
      <w:pPr>
        <w:spacing w:after="0" w:line="360" w:lineRule="auto"/>
        <w:jc w:val="both"/>
        <w:rPr>
          <w:rFonts w:hint="default" w:ascii="Cambria" w:hAnsi="Cambria" w:cs="Cambria"/>
          <w:b/>
          <w:sz w:val="24"/>
          <w:szCs w:val="24"/>
        </w:rPr>
      </w:pPr>
      <w:r>
        <w:rPr>
          <w:rFonts w:hint="default" w:ascii="Cambria" w:hAnsi="Cambria" w:cs="Cambria"/>
          <w:sz w:val="24"/>
          <w:szCs w:val="24"/>
        </w:rPr>
        <w:drawing>
          <wp:anchor distT="0" distB="0" distL="114300" distR="114300" simplePos="0" relativeHeight="251659264" behindDoc="0" locked="0" layoutInCell="1" allowOverlap="1">
            <wp:simplePos x="0" y="0"/>
            <wp:positionH relativeFrom="column">
              <wp:posOffset>202565</wp:posOffset>
            </wp:positionH>
            <wp:positionV relativeFrom="paragraph">
              <wp:posOffset>220980</wp:posOffset>
            </wp:positionV>
            <wp:extent cx="2199640" cy="1508760"/>
            <wp:effectExtent l="323850" t="323850" r="314960" b="320040"/>
            <wp:wrapNone/>
            <wp:docPr id="271" name="Picture 271" descr="F:\FOTO KEGIATAN 2020\PENGENDALIAN KETERSEDIAAN BARANG DAN STABILITAS HARG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Picture 271" descr="F:\FOTO KEGIATAN 2020\PENGENDALIAN KETERSEDIAAN BARANG DAN STABILITAS HARGA\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199640" cy="1508760"/>
                    </a:xfrm>
                    <a:prstGeom prst="round2DiagRect">
                      <a:avLst>
                        <a:gd name="adj1" fmla="val 16667"/>
                        <a:gd name="adj2" fmla="val 0"/>
                      </a:avLst>
                    </a:prstGeom>
                    <a:ln w="88900" cap="sq">
                      <a:solidFill>
                        <a:srgbClr val="92D050"/>
                      </a:solidFill>
                      <a:miter lim="800000"/>
                      <a:headEnd/>
                      <a:tailEnd/>
                    </a:ln>
                    <a:effectLst>
                      <a:outerShdw blurRad="254000" algn="tl" rotWithShape="0">
                        <a:srgbClr val="000000">
                          <a:alpha val="43000"/>
                        </a:srgbClr>
                      </a:outerShdw>
                    </a:effectLst>
                  </pic:spPr>
                </pic:pic>
              </a:graphicData>
            </a:graphic>
          </wp:anchor>
        </w:drawing>
      </w:r>
    </w:p>
    <w:p>
      <w:pPr>
        <w:spacing w:after="0" w:line="360" w:lineRule="auto"/>
        <w:jc w:val="both"/>
        <w:rPr>
          <w:rFonts w:hint="default" w:ascii="Cambria" w:hAnsi="Cambria" w:cs="Cambria"/>
          <w:b/>
          <w:sz w:val="24"/>
          <w:szCs w:val="24"/>
        </w:rPr>
      </w:pPr>
    </w:p>
    <w:p>
      <w:pPr>
        <w:spacing w:after="0" w:line="360" w:lineRule="auto"/>
        <w:jc w:val="both"/>
        <w:rPr>
          <w:rFonts w:hint="default" w:ascii="Cambria" w:hAnsi="Cambria" w:cs="Cambria"/>
          <w:b/>
          <w:sz w:val="24"/>
          <w:szCs w:val="24"/>
        </w:rPr>
      </w:pPr>
      <w:r>
        <w:rPr>
          <w:rFonts w:hint="default" w:ascii="Cambria" w:hAnsi="Cambria" w:cs="Cambria"/>
          <w:sz w:val="24"/>
          <w:szCs w:val="24"/>
        </w:rPr>
        <w:drawing>
          <wp:anchor distT="0" distB="0" distL="114300" distR="114300" simplePos="0" relativeHeight="251660288" behindDoc="0" locked="0" layoutInCell="1" allowOverlap="1">
            <wp:simplePos x="0" y="0"/>
            <wp:positionH relativeFrom="column">
              <wp:posOffset>2868295</wp:posOffset>
            </wp:positionH>
            <wp:positionV relativeFrom="paragraph">
              <wp:posOffset>236855</wp:posOffset>
            </wp:positionV>
            <wp:extent cx="2165350" cy="1526540"/>
            <wp:effectExtent l="323850" t="323850" r="330200" b="321310"/>
            <wp:wrapNone/>
            <wp:docPr id="272" name="Picture 272" descr="F:\FOTO KEGIATAN 2020\PENGENDALIAN KETERSEDIAAN BARANG DAN STABILITAS HARG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descr="F:\FOTO KEGIATAN 2020\PENGENDALIAN KETERSEDIAAN BARANG DAN STABILITAS HARGA\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165350" cy="1526540"/>
                    </a:xfrm>
                    <a:prstGeom prst="round2DiagRect">
                      <a:avLst>
                        <a:gd name="adj1" fmla="val 16667"/>
                        <a:gd name="adj2" fmla="val 0"/>
                      </a:avLst>
                    </a:prstGeom>
                    <a:ln w="88900" cap="sq">
                      <a:solidFill>
                        <a:srgbClr val="92D050"/>
                      </a:solidFill>
                      <a:miter lim="800000"/>
                      <a:headEnd/>
                      <a:tailEnd/>
                    </a:ln>
                    <a:effectLst>
                      <a:outerShdw blurRad="254000" algn="tl" rotWithShape="0">
                        <a:srgbClr val="000000">
                          <a:alpha val="43000"/>
                        </a:srgbClr>
                      </a:outerShdw>
                    </a:effectLst>
                  </pic:spPr>
                </pic:pic>
              </a:graphicData>
            </a:graphic>
          </wp:anchor>
        </w:drawing>
      </w:r>
    </w:p>
    <w:p>
      <w:pPr>
        <w:spacing w:after="0" w:line="360" w:lineRule="auto"/>
        <w:jc w:val="both"/>
        <w:rPr>
          <w:rFonts w:hint="default" w:ascii="Cambria" w:hAnsi="Cambria" w:cs="Cambria"/>
          <w:b/>
          <w:sz w:val="24"/>
          <w:szCs w:val="24"/>
        </w:rPr>
      </w:pPr>
    </w:p>
    <w:p>
      <w:pPr>
        <w:spacing w:after="0" w:line="360" w:lineRule="auto"/>
        <w:jc w:val="both"/>
        <w:rPr>
          <w:rFonts w:hint="default" w:ascii="Cambria" w:hAnsi="Cambria" w:cs="Cambria"/>
          <w:b/>
          <w:sz w:val="24"/>
          <w:szCs w:val="24"/>
        </w:rPr>
      </w:pPr>
    </w:p>
    <w:p>
      <w:pPr>
        <w:spacing w:after="0" w:line="360" w:lineRule="auto"/>
        <w:jc w:val="both"/>
        <w:rPr>
          <w:rFonts w:hint="default" w:ascii="Cambria" w:hAnsi="Cambria" w:cs="Cambria"/>
          <w:b/>
          <w:sz w:val="24"/>
          <w:szCs w:val="24"/>
        </w:rPr>
      </w:pPr>
    </w:p>
    <w:p>
      <w:pPr>
        <w:spacing w:after="0" w:line="360" w:lineRule="auto"/>
        <w:jc w:val="both"/>
        <w:rPr>
          <w:rFonts w:hint="default" w:ascii="Cambria" w:hAnsi="Cambria" w:cs="Cambria"/>
          <w:b/>
          <w:sz w:val="24"/>
          <w:szCs w:val="24"/>
        </w:rPr>
      </w:pPr>
    </w:p>
    <w:p>
      <w:pPr>
        <w:spacing w:after="0" w:line="360" w:lineRule="auto"/>
        <w:jc w:val="both"/>
        <w:rPr>
          <w:rFonts w:hint="default" w:ascii="Cambria" w:hAnsi="Cambria" w:cs="Cambria"/>
          <w:b/>
          <w:sz w:val="24"/>
          <w:szCs w:val="24"/>
        </w:rPr>
      </w:pPr>
    </w:p>
    <w:p>
      <w:pPr>
        <w:spacing w:after="0" w:line="360" w:lineRule="auto"/>
        <w:jc w:val="both"/>
        <w:rPr>
          <w:rFonts w:hint="default" w:ascii="Cambria" w:hAnsi="Cambria" w:cs="Cambria"/>
          <w:b/>
          <w:sz w:val="24"/>
          <w:szCs w:val="24"/>
        </w:rPr>
      </w:pPr>
    </w:p>
    <w:p>
      <w:pPr>
        <w:spacing w:after="0" w:line="360" w:lineRule="auto"/>
        <w:jc w:val="both"/>
        <w:rPr>
          <w:rFonts w:hint="default" w:ascii="Cambria" w:hAnsi="Cambria" w:cs="Cambria"/>
          <w:b/>
          <w:sz w:val="24"/>
          <w:szCs w:val="24"/>
        </w:rPr>
      </w:pPr>
    </w:p>
    <w:p>
      <w:pPr>
        <w:pStyle w:val="13"/>
        <w:numPr>
          <w:ilvl w:val="1"/>
          <w:numId w:val="43"/>
        </w:numPr>
        <w:spacing w:after="0" w:line="360" w:lineRule="auto"/>
        <w:ind w:left="1560" w:hanging="709"/>
        <w:jc w:val="both"/>
        <w:rPr>
          <w:rFonts w:hint="default" w:ascii="Cambria" w:hAnsi="Cambria" w:cs="Cambria"/>
          <w:b/>
          <w:sz w:val="24"/>
          <w:szCs w:val="24"/>
        </w:rPr>
      </w:pPr>
      <w:r>
        <w:rPr>
          <w:rFonts w:hint="default" w:ascii="Cambria" w:hAnsi="Cambria" w:cs="Cambria"/>
          <w:b/>
          <w:sz w:val="24"/>
          <w:szCs w:val="24"/>
        </w:rPr>
        <w:t>Persentase UTTP Bertanda Tera SAH</w:t>
      </w:r>
    </w:p>
    <w:p>
      <w:pPr>
        <w:pStyle w:val="13"/>
        <w:spacing w:after="0" w:line="360" w:lineRule="auto"/>
        <w:ind w:left="1560" w:firstLine="992"/>
        <w:jc w:val="both"/>
        <w:rPr>
          <w:rFonts w:hint="default" w:ascii="Cambria" w:hAnsi="Cambria" w:cs="Cambria"/>
          <w:sz w:val="24"/>
          <w:szCs w:val="24"/>
          <w:lang w:val="en-US"/>
        </w:rPr>
      </w:pPr>
      <w:r>
        <w:rPr>
          <w:rFonts w:hint="default" w:ascii="Cambria" w:hAnsi="Cambria" w:cs="Cambria"/>
          <w:sz w:val="24"/>
          <w:szCs w:val="24"/>
        </w:rPr>
        <w:t xml:space="preserve">Persentase Alat ukur, takar, timbang dan perlengkapan lainnya (UTTP) yang bertanda tera sah didukung oleh program Standardisasi dan Perlindungan Konsumen dengan kegiatan Pelaksanaan Metrologi Legal, Berupa Tera, Tera Ulang, dan Pengawasan, output </w:t>
      </w:r>
      <w:r>
        <w:rPr>
          <w:rFonts w:hint="default" w:ascii="Cambria" w:hAnsi="Cambria" w:cs="Cambria"/>
          <w:sz w:val="24"/>
          <w:szCs w:val="24"/>
          <w:lang w:val="en-US"/>
        </w:rPr>
        <w:t>Total jumlah alat yang diawasi pada tahun 2022 sebanyak 379 alat UTTP. Sedangkan persentase alat UTTP yang bertanda tera SAH tidak ada dikarenakan tidak adanya tenaga penera akibat kesalahan penyetaraan jabatan fungsional penera.</w:t>
      </w:r>
    </w:p>
    <w:p>
      <w:pPr>
        <w:pStyle w:val="13"/>
        <w:spacing w:after="0" w:line="360" w:lineRule="auto"/>
        <w:ind w:left="1560" w:firstLine="992"/>
        <w:jc w:val="both"/>
        <w:rPr>
          <w:rFonts w:hint="default" w:ascii="Cambria" w:hAnsi="Cambria" w:cs="Cambria"/>
          <w:sz w:val="24"/>
          <w:szCs w:val="24"/>
          <w:lang w:val="en-US"/>
        </w:rPr>
      </w:pPr>
    </w:p>
    <w:p>
      <w:pPr>
        <w:pStyle w:val="19"/>
        <w:tabs>
          <w:tab w:val="left" w:pos="1418"/>
        </w:tabs>
        <w:spacing w:line="360" w:lineRule="auto"/>
        <w:jc w:val="center"/>
        <w:rPr>
          <w:rFonts w:hint="default" w:ascii="Cambria" w:hAnsi="Cambria" w:cs="Cambria"/>
          <w:sz w:val="24"/>
          <w:szCs w:val="24"/>
        </w:rPr>
      </w:pPr>
      <w:r>
        <w:rPr>
          <w:rFonts w:hint="default" w:ascii="Cambria" w:hAnsi="Cambria" w:cs="Cambria"/>
          <w:sz w:val="24"/>
          <w:szCs w:val="24"/>
        </w:rPr>
        <w:t>Tabel 3.2.3</w:t>
      </w:r>
    </w:p>
    <w:p>
      <w:pPr>
        <w:pStyle w:val="19"/>
        <w:tabs>
          <w:tab w:val="left" w:pos="1418"/>
        </w:tabs>
        <w:spacing w:line="360" w:lineRule="auto"/>
        <w:jc w:val="center"/>
        <w:rPr>
          <w:rFonts w:hint="default" w:ascii="Cambria" w:hAnsi="Cambria" w:cs="Cambria"/>
          <w:sz w:val="24"/>
          <w:szCs w:val="24"/>
          <w:lang w:val="en-US"/>
        </w:rPr>
      </w:pPr>
      <w:r>
        <w:rPr>
          <w:rFonts w:hint="default" w:ascii="Cambria" w:hAnsi="Cambria" w:cs="Cambria"/>
          <w:sz w:val="24"/>
          <w:szCs w:val="24"/>
        </w:rPr>
        <w:t>Daftar Rincian Alat UTTP yang di</w:t>
      </w:r>
      <w:r>
        <w:rPr>
          <w:rFonts w:hint="default" w:ascii="Cambria" w:hAnsi="Cambria" w:cs="Cambria"/>
          <w:sz w:val="24"/>
          <w:szCs w:val="24"/>
          <w:lang w:val="en-US"/>
        </w:rPr>
        <w:t>awasi</w:t>
      </w:r>
    </w:p>
    <w:tbl>
      <w:tblPr>
        <w:tblStyle w:val="3"/>
        <w:tblW w:w="8676" w:type="dxa"/>
        <w:tblInd w:w="0" w:type="dxa"/>
        <w:tblLayout w:type="fixed"/>
        <w:tblCellMar>
          <w:top w:w="0" w:type="dxa"/>
          <w:left w:w="108" w:type="dxa"/>
          <w:bottom w:w="0" w:type="dxa"/>
          <w:right w:w="108" w:type="dxa"/>
        </w:tblCellMar>
      </w:tblPr>
      <w:tblGrid>
        <w:gridCol w:w="542"/>
        <w:gridCol w:w="1897"/>
        <w:gridCol w:w="1317"/>
        <w:gridCol w:w="1485"/>
        <w:gridCol w:w="1740"/>
        <w:gridCol w:w="1695"/>
      </w:tblGrid>
      <w:tr>
        <w:tblPrEx>
          <w:tblCellMar>
            <w:top w:w="0" w:type="dxa"/>
            <w:left w:w="108" w:type="dxa"/>
            <w:bottom w:w="0" w:type="dxa"/>
            <w:right w:w="108" w:type="dxa"/>
          </w:tblCellMar>
        </w:tblPrEx>
        <w:trPr>
          <w:trHeight w:val="142" w:hRule="atLeast"/>
        </w:trPr>
        <w:tc>
          <w:tcPr>
            <w:tcW w:w="542" w:type="dxa"/>
            <w:vMerge w:val="restart"/>
            <w:tcBorders>
              <w:top w:val="single" w:color="auto" w:sz="8" w:space="0"/>
              <w:left w:val="single" w:color="auto" w:sz="8" w:space="0"/>
              <w:bottom w:val="single" w:color="000000" w:sz="8" w:space="0"/>
              <w:right w:val="single" w:color="auto" w:sz="4" w:space="0"/>
            </w:tcBorders>
            <w:shd w:val="clear" w:color="auto" w:fill="FFC000"/>
            <w:noWrap/>
            <w:vAlign w:val="center"/>
          </w:tcPr>
          <w:p>
            <w:pPr>
              <w:spacing w:after="120"/>
              <w:jc w:val="center"/>
              <w:rPr>
                <w:rFonts w:hint="default" w:ascii="Cambria" w:hAnsi="Cambria" w:cs="Cambria"/>
                <w:b/>
                <w:bCs/>
                <w:color w:val="000000"/>
                <w:sz w:val="24"/>
                <w:szCs w:val="24"/>
              </w:rPr>
            </w:pPr>
            <w:r>
              <w:rPr>
                <w:rFonts w:hint="default" w:ascii="Cambria" w:hAnsi="Cambria" w:cs="Cambria"/>
                <w:b/>
                <w:bCs/>
                <w:color w:val="000000"/>
                <w:sz w:val="24"/>
                <w:szCs w:val="24"/>
              </w:rPr>
              <w:t>No</w:t>
            </w:r>
          </w:p>
        </w:tc>
        <w:tc>
          <w:tcPr>
            <w:tcW w:w="1897" w:type="dxa"/>
            <w:vMerge w:val="restart"/>
            <w:tcBorders>
              <w:top w:val="single" w:color="auto" w:sz="8" w:space="0"/>
              <w:left w:val="single" w:color="auto" w:sz="4" w:space="0"/>
              <w:bottom w:val="single" w:color="000000" w:sz="8" w:space="0"/>
              <w:right w:val="single" w:color="auto" w:sz="4" w:space="0"/>
            </w:tcBorders>
            <w:shd w:val="clear" w:color="auto" w:fill="FFC000"/>
            <w:noWrap/>
            <w:vAlign w:val="center"/>
          </w:tcPr>
          <w:p>
            <w:pPr>
              <w:spacing w:after="120"/>
              <w:jc w:val="center"/>
              <w:rPr>
                <w:rFonts w:hint="default" w:ascii="Cambria" w:hAnsi="Cambria" w:cs="Cambria"/>
                <w:b/>
                <w:bCs/>
                <w:color w:val="000000"/>
                <w:sz w:val="24"/>
                <w:szCs w:val="24"/>
              </w:rPr>
            </w:pPr>
            <w:r>
              <w:rPr>
                <w:rFonts w:hint="default" w:ascii="Cambria" w:hAnsi="Cambria" w:cs="Cambria"/>
                <w:b/>
                <w:bCs/>
                <w:color w:val="000000"/>
                <w:sz w:val="24"/>
                <w:szCs w:val="24"/>
              </w:rPr>
              <w:t>Jenis UTTP</w:t>
            </w:r>
          </w:p>
        </w:tc>
        <w:tc>
          <w:tcPr>
            <w:tcW w:w="6237" w:type="dxa"/>
            <w:gridSpan w:val="4"/>
            <w:tcBorders>
              <w:top w:val="single" w:color="auto" w:sz="8" w:space="0"/>
              <w:left w:val="nil"/>
              <w:bottom w:val="single" w:color="auto" w:sz="4" w:space="0"/>
              <w:right w:val="single" w:color="000000" w:sz="4" w:space="0"/>
            </w:tcBorders>
            <w:shd w:val="clear" w:color="auto" w:fill="FFC000"/>
            <w:noWrap/>
            <w:vAlign w:val="bottom"/>
          </w:tcPr>
          <w:p>
            <w:pPr>
              <w:spacing w:after="120"/>
              <w:jc w:val="center"/>
              <w:rPr>
                <w:rFonts w:hint="default" w:ascii="Cambria" w:hAnsi="Cambria" w:cs="Cambria"/>
                <w:b/>
                <w:bCs/>
                <w:color w:val="000000"/>
                <w:sz w:val="24"/>
                <w:szCs w:val="24"/>
              </w:rPr>
            </w:pPr>
            <w:r>
              <w:rPr>
                <w:rFonts w:hint="default" w:ascii="Cambria" w:hAnsi="Cambria" w:cs="Cambria"/>
                <w:b/>
                <w:bCs/>
                <w:color w:val="000000"/>
                <w:sz w:val="24"/>
                <w:szCs w:val="24"/>
              </w:rPr>
              <w:t>Tahun Anggaran</w:t>
            </w:r>
          </w:p>
        </w:tc>
      </w:tr>
      <w:tr>
        <w:tblPrEx>
          <w:tblCellMar>
            <w:top w:w="0" w:type="dxa"/>
            <w:left w:w="108" w:type="dxa"/>
            <w:bottom w:w="0" w:type="dxa"/>
            <w:right w:w="108" w:type="dxa"/>
          </w:tblCellMar>
        </w:tblPrEx>
        <w:trPr>
          <w:trHeight w:val="115" w:hRule="atLeast"/>
        </w:trPr>
        <w:tc>
          <w:tcPr>
            <w:tcW w:w="542" w:type="dxa"/>
            <w:vMerge w:val="continue"/>
            <w:tcBorders>
              <w:top w:val="single" w:color="auto" w:sz="8" w:space="0"/>
              <w:left w:val="single" w:color="auto" w:sz="8" w:space="0"/>
              <w:bottom w:val="single" w:color="000000" w:sz="8" w:space="0"/>
              <w:right w:val="single" w:color="auto" w:sz="4" w:space="0"/>
            </w:tcBorders>
            <w:vAlign w:val="center"/>
          </w:tcPr>
          <w:p>
            <w:pPr>
              <w:spacing w:after="120" w:line="240" w:lineRule="auto"/>
              <w:rPr>
                <w:rFonts w:hint="default" w:ascii="Cambria" w:hAnsi="Cambria" w:cs="Cambria"/>
                <w:b/>
                <w:bCs/>
                <w:color w:val="000000"/>
                <w:sz w:val="24"/>
                <w:szCs w:val="24"/>
              </w:rPr>
            </w:pPr>
          </w:p>
        </w:tc>
        <w:tc>
          <w:tcPr>
            <w:tcW w:w="1897" w:type="dxa"/>
            <w:vMerge w:val="continue"/>
            <w:tcBorders>
              <w:top w:val="single" w:color="auto" w:sz="8" w:space="0"/>
              <w:left w:val="single" w:color="auto" w:sz="4" w:space="0"/>
              <w:bottom w:val="single" w:color="000000" w:sz="8" w:space="0"/>
              <w:right w:val="single" w:color="auto" w:sz="4" w:space="0"/>
            </w:tcBorders>
            <w:vAlign w:val="center"/>
          </w:tcPr>
          <w:p>
            <w:pPr>
              <w:spacing w:after="120" w:line="240" w:lineRule="auto"/>
              <w:rPr>
                <w:rFonts w:hint="default" w:ascii="Cambria" w:hAnsi="Cambria" w:cs="Cambria"/>
                <w:b/>
                <w:bCs/>
                <w:color w:val="000000"/>
                <w:sz w:val="24"/>
                <w:szCs w:val="24"/>
              </w:rPr>
            </w:pPr>
          </w:p>
        </w:tc>
        <w:tc>
          <w:tcPr>
            <w:tcW w:w="1317" w:type="dxa"/>
            <w:tcBorders>
              <w:top w:val="nil"/>
              <w:left w:val="nil"/>
              <w:bottom w:val="single" w:color="auto" w:sz="8" w:space="0"/>
              <w:right w:val="single" w:color="auto" w:sz="4" w:space="0"/>
            </w:tcBorders>
            <w:shd w:val="clear" w:color="auto" w:fill="FFC000"/>
            <w:noWrap/>
            <w:vAlign w:val="bottom"/>
          </w:tcPr>
          <w:p>
            <w:pPr>
              <w:spacing w:after="120"/>
              <w:jc w:val="center"/>
              <w:rPr>
                <w:rFonts w:hint="default" w:ascii="Cambria" w:hAnsi="Cambria" w:cs="Cambria"/>
                <w:b/>
                <w:bCs/>
                <w:color w:val="000000"/>
                <w:sz w:val="24"/>
                <w:szCs w:val="24"/>
              </w:rPr>
            </w:pPr>
            <w:r>
              <w:rPr>
                <w:rFonts w:hint="default" w:ascii="Cambria" w:hAnsi="Cambria" w:cs="Cambria"/>
                <w:b/>
                <w:bCs/>
                <w:color w:val="000000"/>
                <w:sz w:val="24"/>
                <w:szCs w:val="24"/>
              </w:rPr>
              <w:t>2018</w:t>
            </w:r>
          </w:p>
        </w:tc>
        <w:tc>
          <w:tcPr>
            <w:tcW w:w="1485" w:type="dxa"/>
            <w:tcBorders>
              <w:top w:val="nil"/>
              <w:left w:val="nil"/>
              <w:bottom w:val="single" w:color="auto" w:sz="8" w:space="0"/>
              <w:right w:val="single" w:color="auto" w:sz="4" w:space="0"/>
            </w:tcBorders>
            <w:shd w:val="clear" w:color="auto" w:fill="FFC000"/>
            <w:noWrap/>
            <w:vAlign w:val="bottom"/>
          </w:tcPr>
          <w:p>
            <w:pPr>
              <w:spacing w:after="120"/>
              <w:jc w:val="center"/>
              <w:rPr>
                <w:rFonts w:hint="default" w:ascii="Cambria" w:hAnsi="Cambria" w:cs="Cambria"/>
                <w:b/>
                <w:bCs/>
                <w:color w:val="000000"/>
                <w:sz w:val="24"/>
                <w:szCs w:val="24"/>
              </w:rPr>
            </w:pPr>
            <w:r>
              <w:rPr>
                <w:rFonts w:hint="default" w:ascii="Cambria" w:hAnsi="Cambria" w:cs="Cambria"/>
                <w:b/>
                <w:bCs/>
                <w:color w:val="000000"/>
                <w:sz w:val="24"/>
                <w:szCs w:val="24"/>
              </w:rPr>
              <w:t>2019</w:t>
            </w:r>
          </w:p>
        </w:tc>
        <w:tc>
          <w:tcPr>
            <w:tcW w:w="1740" w:type="dxa"/>
            <w:tcBorders>
              <w:top w:val="nil"/>
              <w:left w:val="nil"/>
              <w:bottom w:val="single" w:color="auto" w:sz="8" w:space="0"/>
              <w:right w:val="single" w:color="auto" w:sz="4" w:space="0"/>
            </w:tcBorders>
            <w:shd w:val="clear" w:color="auto" w:fill="FFC000"/>
            <w:noWrap/>
            <w:vAlign w:val="bottom"/>
          </w:tcPr>
          <w:p>
            <w:pPr>
              <w:spacing w:after="120"/>
              <w:jc w:val="center"/>
              <w:rPr>
                <w:rFonts w:hint="default" w:ascii="Cambria" w:hAnsi="Cambria" w:cs="Cambria"/>
                <w:b/>
                <w:bCs/>
                <w:color w:val="000000"/>
                <w:sz w:val="24"/>
                <w:szCs w:val="24"/>
              </w:rPr>
            </w:pPr>
            <w:r>
              <w:rPr>
                <w:rFonts w:hint="default" w:ascii="Cambria" w:hAnsi="Cambria" w:cs="Cambria"/>
                <w:b/>
                <w:bCs/>
                <w:color w:val="000000"/>
                <w:sz w:val="24"/>
                <w:szCs w:val="24"/>
              </w:rPr>
              <w:t>2020</w:t>
            </w:r>
          </w:p>
        </w:tc>
        <w:tc>
          <w:tcPr>
            <w:tcW w:w="1695" w:type="dxa"/>
            <w:tcBorders>
              <w:top w:val="nil"/>
              <w:left w:val="nil"/>
              <w:bottom w:val="single" w:color="auto" w:sz="8" w:space="0"/>
              <w:right w:val="single" w:color="auto" w:sz="4" w:space="0"/>
            </w:tcBorders>
            <w:shd w:val="clear" w:color="auto" w:fill="FFC000"/>
            <w:noWrap/>
            <w:vAlign w:val="bottom"/>
          </w:tcPr>
          <w:p>
            <w:pPr>
              <w:spacing w:after="120"/>
              <w:jc w:val="center"/>
              <w:rPr>
                <w:rFonts w:hint="default" w:ascii="Cambria" w:hAnsi="Cambria" w:cs="Cambria"/>
                <w:b/>
                <w:bCs/>
                <w:color w:val="000000"/>
                <w:sz w:val="24"/>
                <w:szCs w:val="24"/>
              </w:rPr>
            </w:pPr>
            <w:r>
              <w:rPr>
                <w:rFonts w:hint="default" w:ascii="Cambria" w:hAnsi="Cambria" w:cs="Cambria"/>
                <w:b/>
                <w:bCs/>
                <w:color w:val="000000"/>
                <w:sz w:val="24"/>
                <w:szCs w:val="24"/>
              </w:rPr>
              <w:t>2021</w:t>
            </w:r>
          </w:p>
        </w:tc>
      </w:tr>
      <w:tr>
        <w:tblPrEx>
          <w:tblCellMar>
            <w:top w:w="0" w:type="dxa"/>
            <w:left w:w="108" w:type="dxa"/>
            <w:bottom w:w="0" w:type="dxa"/>
            <w:right w:w="108" w:type="dxa"/>
          </w:tblCellMar>
        </w:tblPrEx>
        <w:trPr>
          <w:trHeight w:val="62"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1</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Takaran Kering</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179</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199</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90</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lang w:val="id-ID"/>
              </w:rPr>
              <w:t>126</w:t>
            </w:r>
          </w:p>
        </w:tc>
      </w:tr>
      <w:tr>
        <w:tblPrEx>
          <w:tblCellMar>
            <w:top w:w="0" w:type="dxa"/>
            <w:left w:w="108" w:type="dxa"/>
            <w:bottom w:w="0" w:type="dxa"/>
            <w:right w:w="108" w:type="dxa"/>
          </w:tblCellMar>
        </w:tblPrEx>
        <w:trPr>
          <w:trHeight w:val="300"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2</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Timb. Pegas</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135</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179</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98</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rPr>
              <w:t>1</w:t>
            </w:r>
            <w:r>
              <w:rPr>
                <w:rFonts w:hint="default" w:ascii="Cambria" w:hAnsi="Cambria" w:cs="Cambria"/>
                <w:color w:val="000000"/>
                <w:sz w:val="24"/>
                <w:szCs w:val="24"/>
                <w:lang w:val="id-ID"/>
              </w:rPr>
              <w:t>62</w:t>
            </w:r>
          </w:p>
        </w:tc>
      </w:tr>
      <w:tr>
        <w:tblPrEx>
          <w:tblCellMar>
            <w:top w:w="0" w:type="dxa"/>
            <w:left w:w="108" w:type="dxa"/>
            <w:bottom w:w="0" w:type="dxa"/>
            <w:right w:w="108" w:type="dxa"/>
          </w:tblCellMar>
        </w:tblPrEx>
        <w:trPr>
          <w:trHeight w:val="72"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3</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Timb. Centicimal</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21</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14</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12</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lang w:val="id-ID"/>
              </w:rPr>
              <w:t>13</w:t>
            </w:r>
          </w:p>
        </w:tc>
      </w:tr>
      <w:tr>
        <w:tblPrEx>
          <w:tblCellMar>
            <w:top w:w="0" w:type="dxa"/>
            <w:left w:w="108" w:type="dxa"/>
            <w:bottom w:w="0" w:type="dxa"/>
            <w:right w:w="108" w:type="dxa"/>
          </w:tblCellMar>
        </w:tblPrEx>
        <w:trPr>
          <w:trHeight w:val="136"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4</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Meter Kayu</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3</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6</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2</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w:t>
            </w:r>
          </w:p>
        </w:tc>
      </w:tr>
      <w:tr>
        <w:tblPrEx>
          <w:tblCellMar>
            <w:top w:w="0" w:type="dxa"/>
            <w:left w:w="108" w:type="dxa"/>
            <w:bottom w:w="0" w:type="dxa"/>
            <w:right w:w="108" w:type="dxa"/>
          </w:tblCellMar>
        </w:tblPrEx>
        <w:trPr>
          <w:trHeight w:val="161"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5</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Timb. Elektronik</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7</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9</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8</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lang w:val="id-ID"/>
              </w:rPr>
              <w:t>13</w:t>
            </w:r>
          </w:p>
        </w:tc>
      </w:tr>
      <w:tr>
        <w:tblPrEx>
          <w:tblCellMar>
            <w:top w:w="0" w:type="dxa"/>
            <w:left w:w="108" w:type="dxa"/>
            <w:bottom w:w="0" w:type="dxa"/>
            <w:right w:w="108" w:type="dxa"/>
          </w:tblCellMar>
        </w:tblPrEx>
        <w:trPr>
          <w:trHeight w:val="88"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6</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Dacin Logam</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15</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17</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9</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lang w:val="id-ID"/>
              </w:rPr>
              <w:t>17</w:t>
            </w:r>
          </w:p>
        </w:tc>
      </w:tr>
      <w:tr>
        <w:tblPrEx>
          <w:tblCellMar>
            <w:top w:w="0" w:type="dxa"/>
            <w:left w:w="108" w:type="dxa"/>
            <w:bottom w:w="0" w:type="dxa"/>
            <w:right w:w="108" w:type="dxa"/>
          </w:tblCellMar>
        </w:tblPrEx>
        <w:trPr>
          <w:trHeight w:val="97"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7</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Anak Timbangan</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81</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15</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25</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rPr>
              <w:t>3</w:t>
            </w:r>
            <w:r>
              <w:rPr>
                <w:rFonts w:hint="default" w:ascii="Cambria" w:hAnsi="Cambria" w:cs="Cambria"/>
                <w:color w:val="000000"/>
                <w:sz w:val="24"/>
                <w:szCs w:val="24"/>
                <w:lang w:val="id-ID"/>
              </w:rPr>
              <w:t>1</w:t>
            </w:r>
          </w:p>
        </w:tc>
      </w:tr>
      <w:tr>
        <w:tblPrEx>
          <w:tblCellMar>
            <w:top w:w="0" w:type="dxa"/>
            <w:left w:w="108" w:type="dxa"/>
            <w:bottom w:w="0" w:type="dxa"/>
            <w:right w:w="108" w:type="dxa"/>
          </w:tblCellMar>
        </w:tblPrEx>
        <w:trPr>
          <w:trHeight w:val="100"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8</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Neraca Emas</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10</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9</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3</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rPr>
              <w:t> </w:t>
            </w:r>
            <w:r>
              <w:rPr>
                <w:rFonts w:hint="default" w:ascii="Cambria" w:hAnsi="Cambria" w:cs="Cambria"/>
                <w:color w:val="000000"/>
                <w:sz w:val="24"/>
                <w:szCs w:val="24"/>
                <w:lang w:val="id-ID"/>
              </w:rPr>
              <w:t>1</w:t>
            </w:r>
          </w:p>
        </w:tc>
      </w:tr>
      <w:tr>
        <w:tblPrEx>
          <w:tblCellMar>
            <w:top w:w="0" w:type="dxa"/>
            <w:left w:w="108" w:type="dxa"/>
            <w:bottom w:w="0" w:type="dxa"/>
            <w:right w:w="108" w:type="dxa"/>
          </w:tblCellMar>
        </w:tblPrEx>
        <w:trPr>
          <w:trHeight w:val="93"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9</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Timb. Bobot Insut</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 </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w:t>
            </w:r>
          </w:p>
        </w:tc>
      </w:tr>
      <w:tr>
        <w:tblPrEx>
          <w:tblCellMar>
            <w:top w:w="0" w:type="dxa"/>
            <w:left w:w="108" w:type="dxa"/>
            <w:bottom w:w="0" w:type="dxa"/>
            <w:right w:w="108" w:type="dxa"/>
          </w:tblCellMar>
        </w:tblPrEx>
        <w:trPr>
          <w:trHeight w:val="95"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10</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SPBU</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17</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8</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15</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rPr>
              <w:t> </w:t>
            </w:r>
            <w:r>
              <w:rPr>
                <w:rFonts w:hint="default" w:ascii="Cambria" w:hAnsi="Cambria" w:cs="Cambria"/>
                <w:color w:val="000000"/>
                <w:sz w:val="24"/>
                <w:szCs w:val="24"/>
                <w:lang w:val="id-ID"/>
              </w:rPr>
              <w:t>10</w:t>
            </w:r>
          </w:p>
        </w:tc>
      </w:tr>
      <w:tr>
        <w:tblPrEx>
          <w:tblCellMar>
            <w:top w:w="0" w:type="dxa"/>
            <w:left w:w="108" w:type="dxa"/>
            <w:bottom w:w="0" w:type="dxa"/>
            <w:right w:w="108" w:type="dxa"/>
          </w:tblCellMar>
        </w:tblPrEx>
        <w:trPr>
          <w:trHeight w:val="76"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11</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Timb. Meja</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3</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rPr>
              <w:t> </w:t>
            </w:r>
            <w:r>
              <w:rPr>
                <w:rFonts w:hint="default" w:ascii="Cambria" w:hAnsi="Cambria" w:cs="Cambria"/>
                <w:color w:val="000000"/>
                <w:sz w:val="24"/>
                <w:szCs w:val="24"/>
                <w:lang w:val="id-ID"/>
              </w:rPr>
              <w:t>-</w:t>
            </w:r>
          </w:p>
        </w:tc>
      </w:tr>
      <w:tr>
        <w:tblPrEx>
          <w:tblCellMar>
            <w:top w:w="0" w:type="dxa"/>
            <w:left w:w="108" w:type="dxa"/>
            <w:bottom w:w="0" w:type="dxa"/>
            <w:right w:w="108" w:type="dxa"/>
          </w:tblCellMar>
        </w:tblPrEx>
        <w:trPr>
          <w:trHeight w:val="107"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12</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Timb. Pegas Cepat</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lang w:val="id-ID"/>
              </w:rPr>
              <w:t>1</w:t>
            </w:r>
            <w:r>
              <w:rPr>
                <w:rFonts w:hint="default" w:ascii="Cambria" w:hAnsi="Cambria" w:cs="Cambria"/>
                <w:color w:val="000000"/>
                <w:sz w:val="24"/>
                <w:szCs w:val="24"/>
              </w:rPr>
              <w:t> </w:t>
            </w:r>
          </w:p>
        </w:tc>
      </w:tr>
      <w:tr>
        <w:tblPrEx>
          <w:tblCellMar>
            <w:top w:w="0" w:type="dxa"/>
            <w:left w:w="108" w:type="dxa"/>
            <w:bottom w:w="0" w:type="dxa"/>
            <w:right w:w="108" w:type="dxa"/>
          </w:tblCellMar>
        </w:tblPrEx>
        <w:trPr>
          <w:trHeight w:val="116"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13</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AMP</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rPr>
              <w:t> </w:t>
            </w:r>
            <w:r>
              <w:rPr>
                <w:rFonts w:hint="default" w:ascii="Cambria" w:hAnsi="Cambria" w:cs="Cambria"/>
                <w:color w:val="000000"/>
                <w:sz w:val="24"/>
                <w:szCs w:val="24"/>
                <w:lang w:val="id-ID"/>
              </w:rPr>
              <w:t>-</w:t>
            </w:r>
          </w:p>
        </w:tc>
      </w:tr>
      <w:tr>
        <w:tblPrEx>
          <w:tblCellMar>
            <w:top w:w="0" w:type="dxa"/>
            <w:left w:w="108" w:type="dxa"/>
            <w:bottom w:w="0" w:type="dxa"/>
            <w:right w:w="108" w:type="dxa"/>
          </w:tblCellMar>
        </w:tblPrEx>
        <w:trPr>
          <w:trHeight w:val="119"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14</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Timb. Digital</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lang w:val="id-ID"/>
              </w:rPr>
              <w:t>-</w:t>
            </w:r>
            <w:r>
              <w:rPr>
                <w:rFonts w:hint="default" w:ascii="Cambria" w:hAnsi="Cambria" w:cs="Cambria"/>
                <w:color w:val="000000"/>
                <w:sz w:val="24"/>
                <w:szCs w:val="24"/>
              </w:rPr>
              <w:t> </w:t>
            </w:r>
          </w:p>
        </w:tc>
      </w:tr>
      <w:tr>
        <w:tblPrEx>
          <w:tblCellMar>
            <w:top w:w="0" w:type="dxa"/>
            <w:left w:w="108" w:type="dxa"/>
            <w:bottom w:w="0" w:type="dxa"/>
            <w:right w:w="108" w:type="dxa"/>
          </w:tblCellMar>
        </w:tblPrEx>
        <w:trPr>
          <w:trHeight w:val="129" w:hRule="atLeast"/>
        </w:trPr>
        <w:tc>
          <w:tcPr>
            <w:tcW w:w="542"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bCs/>
                <w:color w:val="000000"/>
                <w:sz w:val="24"/>
                <w:szCs w:val="24"/>
              </w:rPr>
            </w:pPr>
            <w:r>
              <w:rPr>
                <w:rFonts w:hint="default" w:ascii="Cambria" w:hAnsi="Cambria" w:cs="Cambria"/>
                <w:bCs/>
                <w:color w:val="000000"/>
                <w:sz w:val="24"/>
                <w:szCs w:val="24"/>
              </w:rPr>
              <w:t>15</w:t>
            </w:r>
          </w:p>
        </w:tc>
        <w:tc>
          <w:tcPr>
            <w:tcW w:w="1897" w:type="dxa"/>
            <w:tcBorders>
              <w:top w:val="nil"/>
              <w:left w:val="nil"/>
              <w:bottom w:val="single" w:color="auto" w:sz="4" w:space="0"/>
              <w:right w:val="single" w:color="auto" w:sz="4" w:space="0"/>
            </w:tcBorders>
            <w:noWrap/>
            <w:vAlign w:val="bottom"/>
          </w:tcPr>
          <w:p>
            <w:pPr>
              <w:spacing w:after="120"/>
              <w:rPr>
                <w:rFonts w:hint="default" w:ascii="Cambria" w:hAnsi="Cambria" w:cs="Cambria"/>
                <w:color w:val="000000"/>
                <w:sz w:val="24"/>
                <w:szCs w:val="24"/>
              </w:rPr>
            </w:pPr>
            <w:r>
              <w:rPr>
                <w:rFonts w:hint="default" w:ascii="Cambria" w:hAnsi="Cambria" w:cs="Cambria"/>
                <w:color w:val="000000"/>
                <w:sz w:val="24"/>
                <w:szCs w:val="24"/>
              </w:rPr>
              <w:t>Timb. Elektronik Emas</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w:t>
            </w:r>
          </w:p>
        </w:tc>
        <w:tc>
          <w:tcPr>
            <w:tcW w:w="1740"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1</w:t>
            </w:r>
          </w:p>
        </w:tc>
        <w:tc>
          <w:tcPr>
            <w:tcW w:w="169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rPr>
              <w:t> </w:t>
            </w:r>
            <w:r>
              <w:rPr>
                <w:rFonts w:hint="default" w:ascii="Cambria" w:hAnsi="Cambria" w:cs="Cambria"/>
                <w:color w:val="000000"/>
                <w:sz w:val="24"/>
                <w:szCs w:val="24"/>
                <w:lang w:val="id-ID"/>
              </w:rPr>
              <w:t>3</w:t>
            </w:r>
          </w:p>
        </w:tc>
      </w:tr>
      <w:tr>
        <w:tblPrEx>
          <w:tblCellMar>
            <w:top w:w="0" w:type="dxa"/>
            <w:left w:w="108" w:type="dxa"/>
            <w:bottom w:w="0" w:type="dxa"/>
            <w:right w:w="108" w:type="dxa"/>
          </w:tblCellMar>
        </w:tblPrEx>
        <w:trPr>
          <w:trHeight w:val="90" w:hRule="atLeast"/>
        </w:trPr>
        <w:tc>
          <w:tcPr>
            <w:tcW w:w="2439" w:type="dxa"/>
            <w:gridSpan w:val="2"/>
            <w:tcBorders>
              <w:top w:val="single" w:color="auto" w:sz="4" w:space="0"/>
              <w:left w:val="single" w:color="auto" w:sz="4" w:space="0"/>
              <w:bottom w:val="single" w:color="auto" w:sz="4" w:space="0"/>
              <w:right w:val="single" w:color="000000" w:sz="4" w:space="0"/>
            </w:tcBorders>
            <w:noWrap/>
            <w:vAlign w:val="bottom"/>
          </w:tcPr>
          <w:p>
            <w:pPr>
              <w:spacing w:after="120"/>
              <w:jc w:val="center"/>
              <w:rPr>
                <w:rFonts w:hint="default" w:ascii="Cambria" w:hAnsi="Cambria" w:cs="Cambria"/>
                <w:b/>
                <w:bCs/>
                <w:color w:val="000000"/>
                <w:sz w:val="24"/>
                <w:szCs w:val="24"/>
              </w:rPr>
            </w:pPr>
            <w:r>
              <w:rPr>
                <w:rFonts w:hint="default" w:ascii="Cambria" w:hAnsi="Cambria" w:cs="Cambria"/>
                <w:b/>
                <w:bCs/>
                <w:color w:val="000000"/>
                <w:sz w:val="24"/>
                <w:szCs w:val="24"/>
              </w:rPr>
              <w:t>Jumlah Alat</w:t>
            </w:r>
          </w:p>
        </w:tc>
        <w:tc>
          <w:tcPr>
            <w:tcW w:w="1317"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469</w:t>
            </w:r>
          </w:p>
        </w:tc>
        <w:tc>
          <w:tcPr>
            <w:tcW w:w="1485" w:type="dxa"/>
            <w:tcBorders>
              <w:top w:val="nil"/>
              <w:left w:val="nil"/>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461</w:t>
            </w:r>
          </w:p>
        </w:tc>
        <w:tc>
          <w:tcPr>
            <w:tcW w:w="1740" w:type="dxa"/>
            <w:tcBorders>
              <w:top w:val="nil"/>
              <w:left w:val="nil"/>
              <w:bottom w:val="single" w:color="auto" w:sz="4" w:space="0"/>
              <w:right w:val="nil"/>
            </w:tcBorders>
            <w:noWrap/>
            <w:vAlign w:val="bottom"/>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268</w:t>
            </w:r>
          </w:p>
        </w:tc>
        <w:tc>
          <w:tcPr>
            <w:tcW w:w="1695" w:type="dxa"/>
            <w:tcBorders>
              <w:top w:val="nil"/>
              <w:left w:val="single" w:color="auto" w:sz="4" w:space="0"/>
              <w:bottom w:val="single" w:color="auto" w:sz="4" w:space="0"/>
              <w:right w:val="single" w:color="auto" w:sz="4" w:space="0"/>
            </w:tcBorders>
            <w:noWrap/>
            <w:vAlign w:val="bottom"/>
          </w:tcPr>
          <w:p>
            <w:pPr>
              <w:spacing w:after="120"/>
              <w:jc w:val="center"/>
              <w:rPr>
                <w:rFonts w:hint="default" w:ascii="Cambria" w:hAnsi="Cambria" w:cs="Cambria"/>
                <w:color w:val="000000"/>
                <w:sz w:val="24"/>
                <w:szCs w:val="24"/>
                <w:lang w:val="id-ID"/>
              </w:rPr>
            </w:pPr>
            <w:r>
              <w:rPr>
                <w:rFonts w:hint="default" w:ascii="Cambria" w:hAnsi="Cambria" w:cs="Cambria"/>
                <w:color w:val="000000"/>
                <w:sz w:val="24"/>
                <w:szCs w:val="24"/>
                <w:lang w:val="id-ID"/>
              </w:rPr>
              <w:t>379</w:t>
            </w:r>
          </w:p>
        </w:tc>
      </w:tr>
      <w:tr>
        <w:tblPrEx>
          <w:tblCellMar>
            <w:top w:w="0" w:type="dxa"/>
            <w:left w:w="108" w:type="dxa"/>
            <w:bottom w:w="0" w:type="dxa"/>
            <w:right w:w="108" w:type="dxa"/>
          </w:tblCellMar>
        </w:tblPrEx>
        <w:trPr>
          <w:trHeight w:val="176" w:hRule="atLeast"/>
        </w:trPr>
        <w:tc>
          <w:tcPr>
            <w:tcW w:w="2439" w:type="dxa"/>
            <w:gridSpan w:val="2"/>
            <w:tcBorders>
              <w:top w:val="single" w:color="auto" w:sz="4" w:space="0"/>
              <w:left w:val="single" w:color="auto" w:sz="4" w:space="0"/>
              <w:bottom w:val="single" w:color="auto" w:sz="4" w:space="0"/>
              <w:right w:val="single" w:color="000000" w:sz="4" w:space="0"/>
            </w:tcBorders>
            <w:shd w:val="clear" w:color="auto" w:fill="D9D9D9"/>
            <w:noWrap/>
            <w:vAlign w:val="center"/>
          </w:tcPr>
          <w:p>
            <w:pPr>
              <w:spacing w:after="120"/>
              <w:jc w:val="center"/>
              <w:rPr>
                <w:rFonts w:hint="default" w:ascii="Cambria" w:hAnsi="Cambria" w:cs="Cambria"/>
                <w:b/>
                <w:bCs/>
                <w:color w:val="000000"/>
                <w:sz w:val="24"/>
                <w:szCs w:val="24"/>
              </w:rPr>
            </w:pPr>
            <w:r>
              <w:rPr>
                <w:rFonts w:hint="default" w:ascii="Cambria" w:hAnsi="Cambria" w:cs="Cambria"/>
                <w:b/>
                <w:bCs/>
                <w:color w:val="000000"/>
                <w:sz w:val="24"/>
                <w:szCs w:val="24"/>
              </w:rPr>
              <w:t>Jumlah Retribusi</w:t>
            </w:r>
          </w:p>
        </w:tc>
        <w:tc>
          <w:tcPr>
            <w:tcW w:w="1317" w:type="dxa"/>
            <w:tcBorders>
              <w:top w:val="nil"/>
              <w:left w:val="nil"/>
              <w:bottom w:val="single" w:color="auto" w:sz="4" w:space="0"/>
              <w:right w:val="single" w:color="auto" w:sz="4" w:space="0"/>
            </w:tcBorders>
            <w:shd w:val="clear" w:color="auto" w:fill="D9D9D9"/>
            <w:noWrap/>
            <w:vAlign w:val="center"/>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 </w:t>
            </w:r>
          </w:p>
        </w:tc>
        <w:tc>
          <w:tcPr>
            <w:tcW w:w="1485" w:type="dxa"/>
            <w:tcBorders>
              <w:top w:val="nil"/>
              <w:left w:val="nil"/>
              <w:bottom w:val="single" w:color="auto" w:sz="4" w:space="0"/>
              <w:right w:val="single" w:color="auto" w:sz="4" w:space="0"/>
            </w:tcBorders>
            <w:shd w:val="clear" w:color="auto" w:fill="D9D9D9"/>
            <w:noWrap/>
            <w:vAlign w:val="center"/>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 xml:space="preserve"> Rp  10.404.000 </w:t>
            </w:r>
          </w:p>
        </w:tc>
        <w:tc>
          <w:tcPr>
            <w:tcW w:w="1740" w:type="dxa"/>
            <w:tcBorders>
              <w:top w:val="nil"/>
              <w:left w:val="nil"/>
              <w:bottom w:val="single" w:color="auto" w:sz="4" w:space="0"/>
              <w:right w:val="single" w:color="auto" w:sz="4" w:space="0"/>
            </w:tcBorders>
            <w:shd w:val="clear" w:color="auto" w:fill="D9D9D9"/>
            <w:noWrap/>
            <w:vAlign w:val="center"/>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 xml:space="preserve"> Rp    7.747.000 </w:t>
            </w:r>
          </w:p>
        </w:tc>
        <w:tc>
          <w:tcPr>
            <w:tcW w:w="1695" w:type="dxa"/>
            <w:tcBorders>
              <w:top w:val="nil"/>
              <w:left w:val="nil"/>
              <w:bottom w:val="single" w:color="auto" w:sz="4" w:space="0"/>
              <w:right w:val="single" w:color="auto" w:sz="4" w:space="0"/>
            </w:tcBorders>
            <w:shd w:val="clear" w:color="auto" w:fill="D9D9D9"/>
            <w:noWrap/>
            <w:vAlign w:val="center"/>
          </w:tcPr>
          <w:p>
            <w:pPr>
              <w:spacing w:after="120"/>
              <w:jc w:val="center"/>
              <w:rPr>
                <w:rFonts w:hint="default" w:ascii="Cambria" w:hAnsi="Cambria" w:cs="Cambria"/>
                <w:color w:val="000000"/>
                <w:sz w:val="24"/>
                <w:szCs w:val="24"/>
              </w:rPr>
            </w:pPr>
            <w:r>
              <w:rPr>
                <w:rFonts w:hint="default" w:ascii="Cambria" w:hAnsi="Cambria" w:cs="Cambria"/>
                <w:color w:val="000000"/>
                <w:sz w:val="24"/>
                <w:szCs w:val="24"/>
              </w:rPr>
              <w:t xml:space="preserve"> Rp    3.941.000 </w:t>
            </w:r>
          </w:p>
        </w:tc>
      </w:tr>
    </w:tbl>
    <w:p>
      <w:pPr>
        <w:spacing w:after="0" w:line="360" w:lineRule="auto"/>
        <w:jc w:val="both"/>
        <w:rPr>
          <w:rFonts w:hint="default" w:ascii="Cambria" w:hAnsi="Cambria" w:cs="Cambria"/>
          <w:b/>
          <w:sz w:val="24"/>
          <w:szCs w:val="24"/>
        </w:rPr>
      </w:pPr>
    </w:p>
    <w:p>
      <w:pPr>
        <w:spacing w:after="0" w:line="360" w:lineRule="auto"/>
        <w:jc w:val="both"/>
        <w:rPr>
          <w:rFonts w:hint="default" w:ascii="Cambria" w:hAnsi="Cambria" w:cs="Cambria"/>
          <w:b/>
          <w:sz w:val="24"/>
          <w:szCs w:val="24"/>
        </w:rPr>
      </w:pPr>
    </w:p>
    <w:p>
      <w:pPr>
        <w:pStyle w:val="13"/>
        <w:numPr>
          <w:ilvl w:val="1"/>
          <w:numId w:val="43"/>
        </w:numPr>
        <w:spacing w:after="0" w:line="360" w:lineRule="auto"/>
        <w:ind w:left="1560" w:hanging="709"/>
        <w:jc w:val="both"/>
        <w:rPr>
          <w:rFonts w:hint="default" w:ascii="Cambria" w:hAnsi="Cambria" w:cs="Cambria"/>
          <w:b/>
          <w:sz w:val="24"/>
          <w:szCs w:val="24"/>
        </w:rPr>
      </w:pPr>
      <w:r>
        <w:rPr>
          <w:rFonts w:hint="default" w:ascii="Cambria" w:hAnsi="Cambria" w:cs="Cambria"/>
          <w:b/>
          <w:sz w:val="24"/>
          <w:szCs w:val="24"/>
        </w:rPr>
        <w:t>Persentase Koperasi AKtif</w:t>
      </w:r>
    </w:p>
    <w:p>
      <w:pPr>
        <w:pStyle w:val="19"/>
        <w:spacing w:line="360" w:lineRule="auto"/>
        <w:ind w:left="1560"/>
        <w:jc w:val="both"/>
        <w:rPr>
          <w:rFonts w:hint="default" w:ascii="Cambria" w:hAnsi="Cambria" w:cs="Cambria"/>
          <w:sz w:val="24"/>
          <w:szCs w:val="24"/>
        </w:rPr>
      </w:pPr>
      <w:r>
        <w:rPr>
          <w:rFonts w:hint="default" w:ascii="Cambria" w:hAnsi="Cambria" w:cs="Cambria"/>
          <w:sz w:val="24"/>
          <w:szCs w:val="24"/>
        </w:rPr>
        <w:t>Persentase koperasi aktif didukung oleh Program :</w:t>
      </w:r>
    </w:p>
    <w:p>
      <w:pPr>
        <w:pStyle w:val="19"/>
        <w:numPr>
          <w:ilvl w:val="0"/>
          <w:numId w:val="48"/>
        </w:numPr>
        <w:spacing w:line="360" w:lineRule="auto"/>
        <w:jc w:val="both"/>
        <w:rPr>
          <w:rFonts w:hint="default" w:ascii="Cambria" w:hAnsi="Cambria" w:cs="Cambria"/>
          <w:color w:val="auto"/>
          <w:sz w:val="24"/>
          <w:szCs w:val="24"/>
        </w:rPr>
      </w:pPr>
      <w:r>
        <w:rPr>
          <w:rFonts w:hint="default" w:ascii="Cambria" w:hAnsi="Cambria" w:cs="Cambria"/>
          <w:sz w:val="24"/>
          <w:szCs w:val="24"/>
        </w:rPr>
        <w:t>Program Pendidikan dan Latihan Perkoperasian dengan kegiatan Pendidi</w:t>
      </w:r>
      <w:r>
        <w:rPr>
          <w:rFonts w:hint="default" w:ascii="Cambria" w:hAnsi="Cambria" w:cs="Cambria"/>
          <w:color w:val="auto"/>
          <w:sz w:val="24"/>
          <w:szCs w:val="24"/>
        </w:rPr>
        <w:t>kan dan Latihan Perkoperasian Bagi Koperasi yang Wilayah Keanggotaan dalam Daerah Kabupaten/Kota, output 50 Koperasi</w:t>
      </w:r>
    </w:p>
    <w:p>
      <w:pPr>
        <w:pStyle w:val="19"/>
        <w:numPr>
          <w:ilvl w:val="0"/>
          <w:numId w:val="48"/>
        </w:numPr>
        <w:spacing w:line="360" w:lineRule="auto"/>
        <w:jc w:val="both"/>
        <w:rPr>
          <w:rFonts w:hint="default" w:ascii="Cambria" w:hAnsi="Cambria" w:cs="Cambria"/>
          <w:color w:val="auto"/>
          <w:sz w:val="24"/>
          <w:szCs w:val="24"/>
        </w:rPr>
      </w:pPr>
      <w:r>
        <w:rPr>
          <w:rFonts w:hint="default" w:ascii="Cambria" w:hAnsi="Cambria" w:cs="Cambria"/>
          <w:color w:val="auto"/>
          <w:sz w:val="24"/>
          <w:szCs w:val="24"/>
        </w:rPr>
        <w:t>Program Pemberdayaan dan Perlindungan Koperasi dengan kegiatan Pemberdayaan dan Perlindungan Koperasi yang Keanggotaannya dalam Daerah Kabupaten/Kota, output 137 koperasi aktif dari 168 jumlah koperasi dari 11 kecamatan di Kepulauan Selayar</w:t>
      </w:r>
    </w:p>
    <w:p>
      <w:pPr>
        <w:pStyle w:val="19"/>
        <w:spacing w:line="360" w:lineRule="auto"/>
        <w:ind w:left="720" w:firstLine="720"/>
        <w:jc w:val="center"/>
        <w:rPr>
          <w:rFonts w:hint="default" w:ascii="Cambria" w:hAnsi="Cambria" w:cs="Cambria"/>
          <w:color w:val="auto"/>
          <w:sz w:val="24"/>
          <w:szCs w:val="24"/>
        </w:rPr>
      </w:pPr>
      <w:r>
        <w:rPr>
          <w:rFonts w:hint="default" w:ascii="Cambria" w:hAnsi="Cambria" w:cs="Cambria"/>
          <w:color w:val="auto"/>
          <w:sz w:val="24"/>
          <w:szCs w:val="24"/>
        </w:rPr>
        <w:t>Tabel 3.2.4</w:t>
      </w:r>
    </w:p>
    <w:p>
      <w:pPr>
        <w:pStyle w:val="19"/>
        <w:spacing w:line="360" w:lineRule="auto"/>
        <w:ind w:left="720" w:firstLine="720"/>
        <w:jc w:val="center"/>
        <w:rPr>
          <w:rFonts w:hint="default" w:ascii="Cambria" w:hAnsi="Cambria" w:cs="Cambria"/>
          <w:color w:val="auto"/>
          <w:sz w:val="24"/>
          <w:szCs w:val="24"/>
        </w:rPr>
      </w:pPr>
      <w:r>
        <w:rPr>
          <w:rFonts w:hint="default" w:ascii="Cambria" w:hAnsi="Cambria" w:cs="Cambria"/>
          <w:color w:val="auto"/>
          <w:sz w:val="24"/>
          <w:szCs w:val="24"/>
        </w:rPr>
        <w:t>Persentase koperasi aktif tahun 2017-202</w:t>
      </w:r>
      <w:r>
        <w:rPr>
          <w:rFonts w:hint="default" w:ascii="Cambria" w:hAnsi="Cambria" w:cs="Cambria"/>
          <w:color w:val="auto"/>
          <w:sz w:val="24"/>
          <w:szCs w:val="24"/>
          <w:lang w:val="en-US"/>
        </w:rPr>
        <w:t>2</w:t>
      </w:r>
    </w:p>
    <w:tbl>
      <w:tblPr>
        <w:tblStyle w:val="3"/>
        <w:tblW w:w="4693" w:type="pct"/>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1"/>
        <w:gridCol w:w="2069"/>
        <w:gridCol w:w="762"/>
        <w:gridCol w:w="764"/>
        <w:gridCol w:w="867"/>
        <w:gridCol w:w="867"/>
        <w:gridCol w:w="867"/>
        <w:gridCol w:w="8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right"/>
        </w:trPr>
        <w:tc>
          <w:tcPr>
            <w:tcW w:w="386" w:type="pct"/>
            <w:shd w:val="clear" w:color="auto" w:fill="C3BD96" w:themeFill="background2" w:themeFillShade="BF"/>
            <w:vAlign w:val="bottom"/>
          </w:tcPr>
          <w:p>
            <w:pPr>
              <w:widowControl w:val="0"/>
              <w:autoSpaceDE w:val="0"/>
              <w:autoSpaceDN w:val="0"/>
              <w:adjustRightInd w:val="0"/>
              <w:snapToGrid w:val="0"/>
              <w:spacing w:line="360" w:lineRule="auto"/>
              <w:ind w:right="-20"/>
              <w:contextualSpacing/>
              <w:jc w:val="center"/>
              <w:rPr>
                <w:rFonts w:hint="default" w:ascii="Cambria" w:hAnsi="Cambria" w:cs="Cambria"/>
                <w:b/>
                <w:sz w:val="24"/>
                <w:szCs w:val="24"/>
              </w:rPr>
            </w:pPr>
            <w:r>
              <w:rPr>
                <w:rFonts w:hint="default" w:ascii="Cambria" w:hAnsi="Cambria" w:cs="Cambria"/>
                <w:b/>
                <w:sz w:val="24"/>
                <w:szCs w:val="24"/>
              </w:rPr>
              <w:t>NO</w:t>
            </w:r>
          </w:p>
        </w:tc>
        <w:tc>
          <w:tcPr>
            <w:tcW w:w="1351" w:type="pct"/>
            <w:shd w:val="clear" w:color="auto" w:fill="C3BD96" w:themeFill="background2" w:themeFillShade="BF"/>
            <w:vAlign w:val="bottom"/>
          </w:tcPr>
          <w:p>
            <w:pPr>
              <w:tabs>
                <w:tab w:val="left" w:pos="540"/>
              </w:tabs>
              <w:snapToGrid w:val="0"/>
              <w:spacing w:line="360" w:lineRule="auto"/>
              <w:contextualSpacing/>
              <w:jc w:val="center"/>
              <w:rPr>
                <w:rFonts w:hint="default" w:ascii="Cambria" w:hAnsi="Cambria" w:cs="Cambria"/>
                <w:b/>
                <w:sz w:val="24"/>
                <w:szCs w:val="24"/>
              </w:rPr>
            </w:pPr>
            <w:r>
              <w:rPr>
                <w:rFonts w:hint="default" w:ascii="Cambria" w:hAnsi="Cambria" w:cs="Cambria"/>
                <w:b/>
                <w:sz w:val="24"/>
                <w:szCs w:val="24"/>
              </w:rPr>
              <w:t>Uraian</w:t>
            </w:r>
          </w:p>
        </w:tc>
        <w:tc>
          <w:tcPr>
            <w:tcW w:w="497" w:type="pct"/>
            <w:shd w:val="clear" w:color="auto" w:fill="C3BD96" w:themeFill="background2" w:themeFillShade="BF"/>
            <w:vAlign w:val="bottom"/>
          </w:tcPr>
          <w:p>
            <w:pPr>
              <w:widowControl w:val="0"/>
              <w:autoSpaceDE w:val="0"/>
              <w:autoSpaceDN w:val="0"/>
              <w:adjustRightInd w:val="0"/>
              <w:spacing w:line="360" w:lineRule="auto"/>
              <w:ind w:left="-42" w:right="-20"/>
              <w:contextualSpacing/>
              <w:jc w:val="center"/>
              <w:rPr>
                <w:rFonts w:hint="default" w:ascii="Cambria" w:hAnsi="Cambria" w:cs="Cambria"/>
                <w:b/>
                <w:bCs/>
                <w:sz w:val="24"/>
                <w:szCs w:val="24"/>
              </w:rPr>
            </w:pPr>
            <w:r>
              <w:rPr>
                <w:rFonts w:hint="default" w:ascii="Cambria" w:hAnsi="Cambria" w:cs="Cambria"/>
                <w:b/>
                <w:bCs/>
                <w:sz w:val="24"/>
                <w:szCs w:val="24"/>
              </w:rPr>
              <w:t>2017</w:t>
            </w:r>
          </w:p>
        </w:tc>
        <w:tc>
          <w:tcPr>
            <w:tcW w:w="499" w:type="pct"/>
            <w:shd w:val="clear" w:color="auto" w:fill="C3BD96" w:themeFill="background2" w:themeFillShade="BF"/>
            <w:vAlign w:val="bottom"/>
          </w:tcPr>
          <w:p>
            <w:pPr>
              <w:widowControl w:val="0"/>
              <w:autoSpaceDE w:val="0"/>
              <w:autoSpaceDN w:val="0"/>
              <w:adjustRightInd w:val="0"/>
              <w:spacing w:line="360" w:lineRule="auto"/>
              <w:ind w:left="-42" w:right="-20"/>
              <w:contextualSpacing/>
              <w:jc w:val="center"/>
              <w:rPr>
                <w:rFonts w:hint="default" w:ascii="Cambria" w:hAnsi="Cambria" w:cs="Cambria"/>
                <w:b/>
                <w:bCs/>
                <w:sz w:val="24"/>
                <w:szCs w:val="24"/>
              </w:rPr>
            </w:pPr>
            <w:r>
              <w:rPr>
                <w:rFonts w:hint="default" w:ascii="Cambria" w:hAnsi="Cambria" w:cs="Cambria"/>
                <w:b/>
                <w:bCs/>
                <w:sz w:val="24"/>
                <w:szCs w:val="24"/>
              </w:rPr>
              <w:t>2018</w:t>
            </w:r>
          </w:p>
        </w:tc>
        <w:tc>
          <w:tcPr>
            <w:tcW w:w="566" w:type="pct"/>
            <w:shd w:val="clear" w:color="auto" w:fill="C3BD96" w:themeFill="background2" w:themeFillShade="BF"/>
            <w:vAlign w:val="bottom"/>
          </w:tcPr>
          <w:p>
            <w:pPr>
              <w:widowControl w:val="0"/>
              <w:autoSpaceDE w:val="0"/>
              <w:autoSpaceDN w:val="0"/>
              <w:adjustRightInd w:val="0"/>
              <w:spacing w:line="360" w:lineRule="auto"/>
              <w:ind w:right="-20"/>
              <w:contextualSpacing/>
              <w:jc w:val="center"/>
              <w:rPr>
                <w:rFonts w:hint="default" w:ascii="Cambria" w:hAnsi="Cambria" w:cs="Cambria"/>
                <w:b/>
                <w:bCs/>
                <w:sz w:val="24"/>
                <w:szCs w:val="24"/>
              </w:rPr>
            </w:pPr>
            <w:r>
              <w:rPr>
                <w:rFonts w:hint="default" w:ascii="Cambria" w:hAnsi="Cambria" w:cs="Cambria"/>
                <w:b/>
                <w:bCs/>
                <w:sz w:val="24"/>
                <w:szCs w:val="24"/>
              </w:rPr>
              <w:t>2019</w:t>
            </w:r>
          </w:p>
        </w:tc>
        <w:tc>
          <w:tcPr>
            <w:tcW w:w="566" w:type="pct"/>
            <w:shd w:val="clear" w:color="auto" w:fill="C3BD96" w:themeFill="background2" w:themeFillShade="BF"/>
            <w:vAlign w:val="bottom"/>
          </w:tcPr>
          <w:p>
            <w:pPr>
              <w:widowControl w:val="0"/>
              <w:autoSpaceDE w:val="0"/>
              <w:autoSpaceDN w:val="0"/>
              <w:adjustRightInd w:val="0"/>
              <w:spacing w:line="360" w:lineRule="auto"/>
              <w:ind w:left="-42" w:right="-20"/>
              <w:contextualSpacing/>
              <w:jc w:val="center"/>
              <w:rPr>
                <w:rFonts w:hint="default" w:ascii="Cambria" w:hAnsi="Cambria" w:cs="Cambria"/>
                <w:b/>
                <w:bCs/>
                <w:sz w:val="24"/>
                <w:szCs w:val="24"/>
              </w:rPr>
            </w:pPr>
            <w:r>
              <w:rPr>
                <w:rFonts w:hint="default" w:ascii="Cambria" w:hAnsi="Cambria" w:cs="Cambria"/>
                <w:b/>
                <w:bCs/>
                <w:sz w:val="24"/>
                <w:szCs w:val="24"/>
              </w:rPr>
              <w:t>2020</w:t>
            </w:r>
          </w:p>
        </w:tc>
        <w:tc>
          <w:tcPr>
            <w:tcW w:w="566" w:type="pct"/>
            <w:shd w:val="clear" w:color="auto" w:fill="C3BD96" w:themeFill="background2" w:themeFillShade="BF"/>
            <w:vAlign w:val="bottom"/>
          </w:tcPr>
          <w:p>
            <w:pPr>
              <w:widowControl w:val="0"/>
              <w:autoSpaceDE w:val="0"/>
              <w:autoSpaceDN w:val="0"/>
              <w:adjustRightInd w:val="0"/>
              <w:spacing w:line="360" w:lineRule="auto"/>
              <w:ind w:left="-42" w:right="-20"/>
              <w:contextualSpacing/>
              <w:jc w:val="center"/>
              <w:rPr>
                <w:rFonts w:hint="default" w:ascii="Cambria" w:hAnsi="Cambria" w:cs="Cambria"/>
                <w:b/>
                <w:bCs/>
                <w:sz w:val="24"/>
                <w:szCs w:val="24"/>
              </w:rPr>
            </w:pPr>
            <w:r>
              <w:rPr>
                <w:rFonts w:hint="default" w:ascii="Cambria" w:hAnsi="Cambria" w:cs="Cambria"/>
                <w:b/>
                <w:bCs/>
                <w:sz w:val="24"/>
                <w:szCs w:val="24"/>
              </w:rPr>
              <w:t>2021</w:t>
            </w:r>
          </w:p>
        </w:tc>
        <w:tc>
          <w:tcPr>
            <w:tcW w:w="566" w:type="pct"/>
            <w:shd w:val="clear" w:color="auto" w:fill="C3BD96" w:themeFill="background2" w:themeFillShade="BF"/>
            <w:vAlign w:val="bottom"/>
          </w:tcPr>
          <w:p>
            <w:pPr>
              <w:widowControl w:val="0"/>
              <w:autoSpaceDE w:val="0"/>
              <w:autoSpaceDN w:val="0"/>
              <w:adjustRightInd w:val="0"/>
              <w:spacing w:line="360" w:lineRule="auto"/>
              <w:ind w:left="-42" w:right="-20"/>
              <w:contextualSpacing/>
              <w:jc w:val="center"/>
              <w:rPr>
                <w:rFonts w:hint="default" w:ascii="Cambria" w:hAnsi="Cambria" w:cs="Cambria"/>
                <w:b/>
                <w:bCs/>
                <w:sz w:val="24"/>
                <w:szCs w:val="24"/>
              </w:rPr>
            </w:pPr>
            <w:r>
              <w:rPr>
                <w:rFonts w:hint="default" w:ascii="Cambria" w:hAnsi="Cambria" w:cs="Cambria"/>
                <w:b/>
                <w:bCs/>
                <w:sz w:val="24"/>
                <w:szCs w:val="24"/>
              </w:rPr>
              <w:t>2022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right"/>
        </w:trPr>
        <w:tc>
          <w:tcPr>
            <w:tcW w:w="386" w:type="pct"/>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rPr>
              <w:t>1</w:t>
            </w:r>
          </w:p>
        </w:tc>
        <w:tc>
          <w:tcPr>
            <w:tcW w:w="1351" w:type="pct"/>
            <w:vAlign w:val="center"/>
          </w:tcPr>
          <w:p>
            <w:pPr>
              <w:widowControl w:val="0"/>
              <w:autoSpaceDE w:val="0"/>
              <w:autoSpaceDN w:val="0"/>
              <w:adjustRightInd w:val="0"/>
              <w:snapToGrid w:val="0"/>
              <w:spacing w:line="360" w:lineRule="auto"/>
              <w:ind w:right="-20"/>
              <w:contextualSpacing/>
              <w:jc w:val="center"/>
              <w:rPr>
                <w:rFonts w:hint="default" w:ascii="Cambria" w:hAnsi="Cambria" w:cs="Cambria"/>
                <w:sz w:val="24"/>
                <w:szCs w:val="24"/>
              </w:rPr>
            </w:pPr>
            <w:r>
              <w:rPr>
                <w:rFonts w:hint="default" w:ascii="Cambria" w:hAnsi="Cambria" w:cs="Cambria"/>
                <w:sz w:val="24"/>
                <w:szCs w:val="24"/>
              </w:rPr>
              <w:t>Jumlah koperasi aktif</w:t>
            </w:r>
          </w:p>
        </w:tc>
        <w:tc>
          <w:tcPr>
            <w:tcW w:w="497"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rPr>
              <w:t>145</w:t>
            </w:r>
          </w:p>
        </w:tc>
        <w:tc>
          <w:tcPr>
            <w:tcW w:w="499"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lang w:eastAsia="zh-CN"/>
              </w:rPr>
              <w:t>131</w:t>
            </w:r>
          </w:p>
        </w:tc>
        <w:tc>
          <w:tcPr>
            <w:tcW w:w="566" w:type="pct"/>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lang w:eastAsia="zh-CN"/>
              </w:rPr>
            </w:pPr>
            <w:r>
              <w:rPr>
                <w:rFonts w:hint="default" w:ascii="Cambria" w:hAnsi="Cambria" w:cs="Cambria"/>
                <w:sz w:val="24"/>
                <w:szCs w:val="24"/>
                <w:lang w:eastAsia="zh-CN"/>
              </w:rPr>
              <w:t>162</w:t>
            </w:r>
          </w:p>
        </w:tc>
        <w:tc>
          <w:tcPr>
            <w:tcW w:w="566"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lang w:eastAsia="zh-CN"/>
              </w:rPr>
              <w:t>136</w:t>
            </w:r>
          </w:p>
        </w:tc>
        <w:tc>
          <w:tcPr>
            <w:tcW w:w="566"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lang w:eastAsia="zh-CN"/>
              </w:rPr>
              <w:t>136</w:t>
            </w:r>
          </w:p>
        </w:tc>
        <w:tc>
          <w:tcPr>
            <w:tcW w:w="566"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lang w:eastAsia="zh-CN"/>
              </w:rPr>
            </w:pPr>
            <w:r>
              <w:rPr>
                <w:rFonts w:hint="default" w:ascii="Cambria" w:hAnsi="Cambria" w:cs="Cambria"/>
                <w:sz w:val="24"/>
                <w:szCs w:val="24"/>
                <w:lang w:eastAsia="zh-CN"/>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right"/>
        </w:trPr>
        <w:tc>
          <w:tcPr>
            <w:tcW w:w="386" w:type="pct"/>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rPr>
              <w:t>2</w:t>
            </w:r>
          </w:p>
        </w:tc>
        <w:tc>
          <w:tcPr>
            <w:tcW w:w="1351" w:type="pct"/>
            <w:vAlign w:val="center"/>
          </w:tcPr>
          <w:p>
            <w:pPr>
              <w:widowControl w:val="0"/>
              <w:autoSpaceDE w:val="0"/>
              <w:autoSpaceDN w:val="0"/>
              <w:adjustRightInd w:val="0"/>
              <w:snapToGrid w:val="0"/>
              <w:spacing w:line="360" w:lineRule="auto"/>
              <w:ind w:right="-20"/>
              <w:contextualSpacing/>
              <w:jc w:val="center"/>
              <w:rPr>
                <w:rFonts w:hint="default" w:ascii="Cambria" w:hAnsi="Cambria" w:cs="Cambria"/>
                <w:sz w:val="24"/>
                <w:szCs w:val="24"/>
              </w:rPr>
            </w:pPr>
            <w:r>
              <w:rPr>
                <w:rFonts w:hint="default" w:ascii="Cambria" w:hAnsi="Cambria" w:cs="Cambria"/>
                <w:sz w:val="24"/>
                <w:szCs w:val="24"/>
              </w:rPr>
              <w:t>Jumlah koperasi</w:t>
            </w:r>
          </w:p>
        </w:tc>
        <w:tc>
          <w:tcPr>
            <w:tcW w:w="497"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rPr>
              <w:t>189</w:t>
            </w:r>
          </w:p>
        </w:tc>
        <w:tc>
          <w:tcPr>
            <w:tcW w:w="499"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lang w:eastAsia="zh-CN"/>
              </w:rPr>
              <w:t>161</w:t>
            </w:r>
          </w:p>
        </w:tc>
        <w:tc>
          <w:tcPr>
            <w:tcW w:w="566" w:type="pct"/>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lang w:eastAsia="zh-CN"/>
              </w:rPr>
            </w:pPr>
            <w:r>
              <w:rPr>
                <w:rFonts w:hint="default" w:ascii="Cambria" w:hAnsi="Cambria" w:cs="Cambria"/>
                <w:sz w:val="24"/>
                <w:szCs w:val="24"/>
                <w:lang w:eastAsia="zh-CN"/>
              </w:rPr>
              <w:t>132</w:t>
            </w:r>
          </w:p>
        </w:tc>
        <w:tc>
          <w:tcPr>
            <w:tcW w:w="566"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lang w:eastAsia="zh-CN"/>
              </w:rPr>
              <w:t>165</w:t>
            </w:r>
          </w:p>
        </w:tc>
        <w:tc>
          <w:tcPr>
            <w:tcW w:w="566"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lang w:eastAsia="zh-CN"/>
              </w:rPr>
              <w:t>165</w:t>
            </w:r>
          </w:p>
        </w:tc>
        <w:tc>
          <w:tcPr>
            <w:tcW w:w="566"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lang w:val="en-US" w:eastAsia="zh-CN"/>
              </w:rPr>
            </w:pPr>
            <w:r>
              <w:rPr>
                <w:rFonts w:hint="default" w:ascii="Cambria" w:hAnsi="Cambria" w:cs="Cambria"/>
                <w:sz w:val="24"/>
                <w:szCs w:val="24"/>
                <w:lang w:eastAsia="zh-CN"/>
              </w:rPr>
              <w:t>16</w:t>
            </w:r>
            <w:r>
              <w:rPr>
                <w:rFonts w:hint="default" w:ascii="Cambria" w:hAnsi="Cambria" w:cs="Cambria"/>
                <w:sz w:val="24"/>
                <w:szCs w:val="24"/>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right"/>
        </w:trPr>
        <w:tc>
          <w:tcPr>
            <w:tcW w:w="386" w:type="pct"/>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rPr>
              <w:t>3</w:t>
            </w:r>
          </w:p>
        </w:tc>
        <w:tc>
          <w:tcPr>
            <w:tcW w:w="1351" w:type="pct"/>
            <w:vAlign w:val="center"/>
          </w:tcPr>
          <w:p>
            <w:pPr>
              <w:widowControl w:val="0"/>
              <w:autoSpaceDE w:val="0"/>
              <w:autoSpaceDN w:val="0"/>
              <w:adjustRightInd w:val="0"/>
              <w:snapToGrid w:val="0"/>
              <w:spacing w:line="360" w:lineRule="auto"/>
              <w:ind w:right="-20"/>
              <w:contextualSpacing/>
              <w:jc w:val="center"/>
              <w:rPr>
                <w:rFonts w:hint="default" w:ascii="Cambria" w:hAnsi="Cambria" w:cs="Cambria"/>
                <w:sz w:val="24"/>
                <w:szCs w:val="24"/>
              </w:rPr>
            </w:pPr>
            <w:r>
              <w:rPr>
                <w:rFonts w:hint="default" w:ascii="Cambria" w:hAnsi="Cambria" w:cs="Cambria"/>
                <w:sz w:val="24"/>
                <w:szCs w:val="24"/>
              </w:rPr>
              <w:t>Persentase koperasi aktif</w:t>
            </w:r>
          </w:p>
        </w:tc>
        <w:tc>
          <w:tcPr>
            <w:tcW w:w="497"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rPr>
              <w:t>76,72</w:t>
            </w:r>
          </w:p>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p>
        </w:tc>
        <w:tc>
          <w:tcPr>
            <w:tcW w:w="499"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lang w:eastAsia="zh-CN"/>
              </w:rPr>
              <w:t>81,37</w:t>
            </w:r>
          </w:p>
        </w:tc>
        <w:tc>
          <w:tcPr>
            <w:tcW w:w="566" w:type="pct"/>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lang w:eastAsia="zh-CN"/>
              </w:rPr>
            </w:pPr>
            <w:r>
              <w:rPr>
                <w:rFonts w:hint="default" w:ascii="Cambria" w:hAnsi="Cambria" w:cs="Cambria"/>
                <w:sz w:val="24"/>
                <w:szCs w:val="24"/>
                <w:lang w:eastAsia="zh-CN"/>
              </w:rPr>
              <w:t>81,48</w:t>
            </w:r>
          </w:p>
        </w:tc>
        <w:tc>
          <w:tcPr>
            <w:tcW w:w="566"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lang w:eastAsia="zh-CN"/>
              </w:rPr>
              <w:t>82,42</w:t>
            </w:r>
          </w:p>
        </w:tc>
        <w:tc>
          <w:tcPr>
            <w:tcW w:w="566"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rPr>
            </w:pPr>
            <w:r>
              <w:rPr>
                <w:rFonts w:hint="default" w:ascii="Cambria" w:hAnsi="Cambria" w:cs="Cambria"/>
                <w:sz w:val="24"/>
                <w:szCs w:val="24"/>
                <w:lang w:eastAsia="zh-CN"/>
              </w:rPr>
              <w:t>82,42</w:t>
            </w:r>
          </w:p>
        </w:tc>
        <w:tc>
          <w:tcPr>
            <w:tcW w:w="566" w:type="pct"/>
            <w:shd w:val="clear" w:color="auto" w:fill="auto"/>
            <w:vAlign w:val="center"/>
          </w:tcPr>
          <w:p>
            <w:pPr>
              <w:widowControl w:val="0"/>
              <w:autoSpaceDE w:val="0"/>
              <w:autoSpaceDN w:val="0"/>
              <w:adjustRightInd w:val="0"/>
              <w:snapToGrid w:val="0"/>
              <w:spacing w:line="360" w:lineRule="auto"/>
              <w:ind w:right="-20" w:hanging="65"/>
              <w:contextualSpacing/>
              <w:jc w:val="center"/>
              <w:rPr>
                <w:rFonts w:hint="default" w:ascii="Cambria" w:hAnsi="Cambria" w:cs="Cambria"/>
                <w:sz w:val="24"/>
                <w:szCs w:val="24"/>
                <w:lang w:val="en-US" w:eastAsia="zh-CN"/>
              </w:rPr>
            </w:pPr>
            <w:r>
              <w:rPr>
                <w:rFonts w:hint="default" w:ascii="Cambria" w:hAnsi="Cambria" w:cs="Cambria"/>
                <w:sz w:val="24"/>
                <w:szCs w:val="24"/>
                <w:lang w:eastAsia="zh-CN"/>
              </w:rPr>
              <w:t>8</w:t>
            </w:r>
            <w:r>
              <w:rPr>
                <w:rFonts w:hint="default" w:ascii="Cambria" w:hAnsi="Cambria" w:cs="Cambria"/>
                <w:sz w:val="24"/>
                <w:szCs w:val="24"/>
                <w:lang w:val="en-US" w:eastAsia="zh-CN"/>
              </w:rPr>
              <w:t>2</w:t>
            </w:r>
            <w:r>
              <w:rPr>
                <w:rFonts w:hint="default" w:ascii="Cambria" w:hAnsi="Cambria" w:cs="Cambria"/>
                <w:sz w:val="24"/>
                <w:szCs w:val="24"/>
                <w:lang w:eastAsia="zh-CN"/>
              </w:rPr>
              <w:t>,</w:t>
            </w:r>
            <w:r>
              <w:rPr>
                <w:rFonts w:hint="default" w:ascii="Cambria" w:hAnsi="Cambria" w:cs="Cambria"/>
                <w:sz w:val="24"/>
                <w:szCs w:val="24"/>
                <w:lang w:val="en-US" w:eastAsia="zh-CN"/>
              </w:rPr>
              <w:t>03</w:t>
            </w:r>
          </w:p>
        </w:tc>
      </w:tr>
    </w:tbl>
    <w:p>
      <w:pPr>
        <w:pStyle w:val="19"/>
        <w:spacing w:line="360" w:lineRule="auto"/>
        <w:jc w:val="both"/>
        <w:rPr>
          <w:rFonts w:hint="default" w:ascii="Cambria" w:hAnsi="Cambria" w:cs="Cambria"/>
          <w:sz w:val="24"/>
          <w:szCs w:val="24"/>
        </w:rPr>
      </w:pPr>
    </w:p>
    <w:p>
      <w:pPr>
        <w:pStyle w:val="13"/>
        <w:numPr>
          <w:ilvl w:val="1"/>
          <w:numId w:val="43"/>
        </w:numPr>
        <w:spacing w:after="0" w:line="360" w:lineRule="auto"/>
        <w:ind w:left="1560" w:hanging="709"/>
        <w:jc w:val="both"/>
        <w:rPr>
          <w:rFonts w:hint="default" w:ascii="Cambria" w:hAnsi="Cambria" w:cs="Cambria"/>
          <w:b/>
          <w:sz w:val="24"/>
          <w:szCs w:val="24"/>
        </w:rPr>
      </w:pPr>
      <w:r>
        <w:rPr>
          <w:rFonts w:hint="default" w:ascii="Cambria" w:hAnsi="Cambria" w:cs="Cambria"/>
          <w:b/>
          <w:sz w:val="24"/>
          <w:szCs w:val="24"/>
        </w:rPr>
        <w:t>Persentase Koperasi Sehat</w:t>
      </w:r>
    </w:p>
    <w:p>
      <w:pPr>
        <w:pStyle w:val="13"/>
        <w:spacing w:after="0" w:line="360" w:lineRule="auto"/>
        <w:ind w:left="1560" w:firstLine="992"/>
        <w:jc w:val="both"/>
        <w:rPr>
          <w:rFonts w:hint="default" w:ascii="Cambria" w:hAnsi="Cambria" w:cs="Cambria"/>
          <w:sz w:val="24"/>
          <w:szCs w:val="24"/>
          <w:lang w:val="en-US"/>
        </w:rPr>
      </w:pPr>
      <w:r>
        <w:rPr>
          <w:rFonts w:hint="default" w:ascii="Cambria" w:hAnsi="Cambria" w:cs="Cambria"/>
          <w:sz w:val="24"/>
          <w:szCs w:val="24"/>
        </w:rPr>
        <w:t xml:space="preserve">Persentase koperasi sehat didukung oleh program Penilaian Kesehatan Ksp/Usp Koperasi dengan kegiatan Penilaian Kesehatan Koperasi Simpan Pinjam/Unit Simpan Pinjam </w:t>
      </w:r>
      <w:r>
        <w:rPr>
          <w:rFonts w:hint="default" w:ascii="Cambria" w:hAnsi="Cambria" w:cs="Cambria"/>
          <w:color w:val="000000" w:themeColor="text1"/>
          <w:sz w:val="24"/>
          <w:szCs w:val="24"/>
          <w14:textFill>
            <w14:solidFill>
              <w14:schemeClr w14:val="tx1"/>
            </w14:solidFill>
          </w14:textFill>
        </w:rPr>
        <w:t>Koperasi yang Wilayah Keanggotaanya dalam 1 (satu) Daerah Kabupaten/Kota, output 2 koperasi sehat dari 13</w:t>
      </w:r>
      <w:r>
        <w:rPr>
          <w:rFonts w:hint="default" w:ascii="Cambria" w:hAnsi="Cambria" w:cs="Cambria"/>
          <w:color w:val="000000" w:themeColor="text1"/>
          <w:sz w:val="24"/>
          <w:szCs w:val="24"/>
          <w:lang w:val="en-US"/>
          <w14:textFill>
            <w14:solidFill>
              <w14:schemeClr w14:val="tx1"/>
            </w14:solidFill>
          </w14:textFill>
        </w:rPr>
        <w:t>8</w:t>
      </w:r>
      <w:r>
        <w:rPr>
          <w:rFonts w:hint="default" w:ascii="Cambria" w:hAnsi="Cambria" w:cs="Cambria"/>
          <w:color w:val="000000" w:themeColor="text1"/>
          <w:sz w:val="24"/>
          <w:szCs w:val="24"/>
          <w14:textFill>
            <w14:solidFill>
              <w14:schemeClr w14:val="tx1"/>
            </w14:solidFill>
          </w14:textFill>
        </w:rPr>
        <w:t xml:space="preserve"> koperasi aktif di 11 kecamatan di Kepulauan Selayar. Y</w:t>
      </w:r>
      <w:r>
        <w:rPr>
          <w:rFonts w:hint="default" w:ascii="Cambria" w:hAnsi="Cambria" w:cs="Cambria"/>
          <w:sz w:val="24"/>
          <w:szCs w:val="24"/>
        </w:rPr>
        <w:t>ang m</w:t>
      </w:r>
      <w:r>
        <w:rPr>
          <w:rFonts w:hint="default" w:ascii="Cambria" w:hAnsi="Cambria" w:cs="Cambria"/>
          <w:bCs/>
          <w:sz w:val="24"/>
          <w:szCs w:val="24"/>
          <w:lang w:val="en-GB"/>
        </w:rPr>
        <w:t>enerima penghargaan dari Kementerian Koperasi dan UKM Republik Indonesia sejak tahun 2016-202</w:t>
      </w:r>
      <w:r>
        <w:rPr>
          <w:rFonts w:hint="default" w:ascii="Cambria" w:hAnsi="Cambria" w:cs="Cambria"/>
          <w:bCs/>
          <w:sz w:val="24"/>
          <w:szCs w:val="24"/>
        </w:rPr>
        <w:t>1 sebagai Koperasi Berprestasi yaitu koperasi Kontue Toje’, Koperasi Sadar dan Koperasi Primer Kepolisian</w:t>
      </w:r>
      <w:r>
        <w:rPr>
          <w:rFonts w:hint="default" w:ascii="Cambria" w:hAnsi="Cambria" w:cs="Cambria"/>
          <w:bCs/>
          <w:sz w:val="24"/>
          <w:szCs w:val="24"/>
          <w:lang w:val="en-US"/>
        </w:rPr>
        <w:t>.</w:t>
      </w:r>
    </w:p>
    <w:p>
      <w:pPr>
        <w:pStyle w:val="13"/>
        <w:spacing w:after="0" w:line="360" w:lineRule="auto"/>
        <w:ind w:left="1560" w:firstLine="992"/>
        <w:jc w:val="both"/>
        <w:rPr>
          <w:rFonts w:hint="default" w:ascii="Cambria" w:hAnsi="Cambria" w:cs="Cambria"/>
          <w:b/>
          <w:sz w:val="24"/>
          <w:szCs w:val="24"/>
        </w:rPr>
      </w:pPr>
    </w:p>
    <w:p>
      <w:pPr>
        <w:pStyle w:val="13"/>
        <w:numPr>
          <w:ilvl w:val="1"/>
          <w:numId w:val="43"/>
        </w:numPr>
        <w:spacing w:after="0" w:line="360" w:lineRule="auto"/>
        <w:ind w:left="1560" w:hanging="709"/>
        <w:jc w:val="both"/>
        <w:rPr>
          <w:rFonts w:hint="default" w:ascii="Cambria" w:hAnsi="Cambria" w:cs="Cambria"/>
          <w:b/>
          <w:sz w:val="24"/>
          <w:szCs w:val="24"/>
        </w:rPr>
      </w:pPr>
      <w:r>
        <w:rPr>
          <w:rFonts w:hint="default" w:ascii="Cambria" w:hAnsi="Cambria" w:cs="Cambria"/>
          <w:b/>
          <w:sz w:val="24"/>
          <w:szCs w:val="24"/>
        </w:rPr>
        <w:t>Persentase Peningkatan UMKM yang Produktif</w:t>
      </w:r>
    </w:p>
    <w:p>
      <w:pPr>
        <w:pStyle w:val="13"/>
        <w:spacing w:after="0" w:line="360" w:lineRule="auto"/>
        <w:ind w:left="1560" w:firstLine="992"/>
        <w:jc w:val="both"/>
        <w:rPr>
          <w:rFonts w:hint="default" w:ascii="Cambria" w:hAnsi="Cambria" w:cs="Cambria"/>
          <w:color w:val="000000" w:themeColor="text1"/>
          <w:sz w:val="24"/>
          <w:szCs w:val="24"/>
          <w:lang w:val="en-US"/>
          <w14:textFill>
            <w14:solidFill>
              <w14:schemeClr w14:val="tx1"/>
            </w14:solidFill>
          </w14:textFill>
        </w:rPr>
      </w:pPr>
      <w:r>
        <w:rPr>
          <w:rFonts w:hint="default" w:ascii="Cambria" w:hAnsi="Cambria" w:cs="Cambria"/>
          <w:sz w:val="24"/>
          <w:szCs w:val="24"/>
        </w:rPr>
        <w:t>Persentase Peningkatan UMKM yang Produktif didukung oleh Program Pengembangan UMKM dengan kegiatan Pengembangan Usaha Mikro dengan Orientasi Peningkatan Skala Usaha Menjadi Usaha Kecil,</w:t>
      </w:r>
      <w:r>
        <w:rPr>
          <w:rFonts w:hint="default" w:ascii="Cambria" w:hAnsi="Cambria" w:cs="Cambria"/>
          <w:color w:val="000000" w:themeColor="text1"/>
          <w:sz w:val="24"/>
          <w:szCs w:val="24"/>
          <w14:textFill>
            <w14:solidFill>
              <w14:schemeClr w14:val="tx1"/>
            </w14:solidFill>
          </w14:textFill>
        </w:rPr>
        <w:t xml:space="preserve"> output pelatihan dan sosialisasi kepada </w:t>
      </w:r>
      <w:r>
        <w:rPr>
          <w:rFonts w:hint="default" w:ascii="Cambria" w:hAnsi="Cambria" w:cs="Cambria"/>
          <w:color w:val="000000" w:themeColor="text1"/>
          <w:sz w:val="24"/>
          <w:szCs w:val="24"/>
          <w:lang w:val="en-US"/>
          <w14:textFill>
            <w14:solidFill>
              <w14:schemeClr w14:val="tx1"/>
            </w14:solidFill>
          </w14:textFill>
        </w:rPr>
        <w:t>275 peserta.</w:t>
      </w:r>
    </w:p>
    <w:p>
      <w:pPr>
        <w:pStyle w:val="13"/>
        <w:spacing w:after="0" w:line="360" w:lineRule="auto"/>
        <w:ind w:left="1560" w:firstLine="992"/>
        <w:jc w:val="both"/>
        <w:rPr>
          <w:rFonts w:hint="default" w:ascii="Cambria" w:hAnsi="Cambria" w:cs="Cambria"/>
          <w:color w:val="000000" w:themeColor="text1"/>
          <w:sz w:val="24"/>
          <w:szCs w:val="24"/>
          <w:lang w:val="en-US"/>
          <w14:textFill>
            <w14:solidFill>
              <w14:schemeClr w14:val="tx1"/>
            </w14:solidFill>
          </w14:textFill>
        </w:rPr>
      </w:pPr>
      <w:r>
        <w:rPr>
          <w:rFonts w:hint="default" w:ascii="Cambria" w:hAnsi="Cambria" w:cs="Cambria"/>
          <w:sz w:val="24"/>
          <w:szCs w:val="24"/>
        </w:rPr>
        <w:drawing>
          <wp:anchor distT="0" distB="0" distL="114300" distR="114300" simplePos="0" relativeHeight="251662336" behindDoc="0" locked="0" layoutInCell="1" allowOverlap="1">
            <wp:simplePos x="0" y="0"/>
            <wp:positionH relativeFrom="column">
              <wp:posOffset>2762885</wp:posOffset>
            </wp:positionH>
            <wp:positionV relativeFrom="paragraph">
              <wp:posOffset>118745</wp:posOffset>
            </wp:positionV>
            <wp:extent cx="2127885" cy="1543685"/>
            <wp:effectExtent l="323850" t="323850" r="329565" b="323215"/>
            <wp:wrapNone/>
            <wp:docPr id="284" name="Picture 284" descr="F:\FOTO KEGIATAN\PENDATAAN SIK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Picture 284" descr="F:\FOTO KEGIATAN\PENDATAAN SIKP\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127885" cy="1543685"/>
                    </a:xfrm>
                    <a:prstGeom prst="round2DiagRect">
                      <a:avLst>
                        <a:gd name="adj1" fmla="val 16667"/>
                        <a:gd name="adj2" fmla="val 0"/>
                      </a:avLst>
                    </a:prstGeom>
                    <a:ln w="88900" cap="sq">
                      <a:solidFill>
                        <a:srgbClr val="FFFFFF"/>
                      </a:solidFill>
                      <a:miter lim="800000"/>
                      <a:headEnd/>
                      <a:tailEnd/>
                    </a:ln>
                    <a:effectLst>
                      <a:outerShdw blurRad="254000" algn="tl" rotWithShape="0">
                        <a:srgbClr val="000000">
                          <a:alpha val="43000"/>
                        </a:srgbClr>
                      </a:outerShdw>
                    </a:effectLst>
                  </pic:spPr>
                </pic:pic>
              </a:graphicData>
            </a:graphic>
          </wp:anchor>
        </w:drawing>
      </w:r>
      <w:r>
        <w:rPr>
          <w:rFonts w:hint="default" w:ascii="Cambria" w:hAnsi="Cambria" w:cs="Cambria"/>
          <w:color w:val="984807" w:themeColor="accent6" w:themeShade="80"/>
          <w:sz w:val="24"/>
          <w:szCs w:val="24"/>
        </w:rPr>
        <w:drawing>
          <wp:anchor distT="0" distB="0" distL="114300" distR="114300" simplePos="0" relativeHeight="251661312" behindDoc="0" locked="0" layoutInCell="1" allowOverlap="1">
            <wp:simplePos x="0" y="0"/>
            <wp:positionH relativeFrom="column">
              <wp:posOffset>195580</wp:posOffset>
            </wp:positionH>
            <wp:positionV relativeFrom="paragraph">
              <wp:posOffset>146050</wp:posOffset>
            </wp:positionV>
            <wp:extent cx="2087245" cy="1543050"/>
            <wp:effectExtent l="323850" t="323850" r="332105" b="323850"/>
            <wp:wrapNone/>
            <wp:docPr id="283" name="Picture 283" descr="F:\FOTO KEGIATAN\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descr="F:\FOTO KEGIATAN\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087245" cy="1543050"/>
                    </a:xfrm>
                    <a:prstGeom prst="round2DiagRect">
                      <a:avLst>
                        <a:gd name="adj1" fmla="val 16667"/>
                        <a:gd name="adj2" fmla="val 0"/>
                      </a:avLst>
                    </a:prstGeom>
                    <a:ln w="88900" cap="sq">
                      <a:solidFill>
                        <a:srgbClr val="FFFFFF"/>
                      </a:solidFill>
                      <a:miter lim="800000"/>
                      <a:headEnd/>
                      <a:tailEnd/>
                    </a:ln>
                    <a:effectLst>
                      <a:outerShdw blurRad="254000" algn="tl" rotWithShape="0">
                        <a:srgbClr val="000000">
                          <a:alpha val="43000"/>
                        </a:srgbClr>
                      </a:outerShdw>
                    </a:effectLst>
                  </pic:spPr>
                </pic:pic>
              </a:graphicData>
            </a:graphic>
          </wp:anchor>
        </w:drawing>
      </w:r>
    </w:p>
    <w:p>
      <w:pPr>
        <w:pStyle w:val="13"/>
        <w:spacing w:after="0" w:line="360" w:lineRule="auto"/>
        <w:ind w:left="1560" w:firstLine="992"/>
        <w:jc w:val="both"/>
        <w:rPr>
          <w:rFonts w:hint="default" w:ascii="Cambria" w:hAnsi="Cambria" w:cs="Cambria"/>
          <w:color w:val="000000" w:themeColor="text1"/>
          <w:sz w:val="24"/>
          <w:szCs w:val="24"/>
          <w:lang w:val="en-US"/>
          <w14:textFill>
            <w14:solidFill>
              <w14:schemeClr w14:val="tx1"/>
            </w14:solidFill>
          </w14:textFill>
        </w:rPr>
      </w:pPr>
    </w:p>
    <w:p>
      <w:pPr>
        <w:pStyle w:val="13"/>
        <w:spacing w:after="0" w:line="360" w:lineRule="auto"/>
        <w:ind w:left="1560" w:firstLine="992"/>
        <w:jc w:val="both"/>
        <w:rPr>
          <w:rFonts w:hint="default" w:ascii="Cambria" w:hAnsi="Cambria" w:cs="Cambria"/>
          <w:color w:val="000000" w:themeColor="text1"/>
          <w:sz w:val="24"/>
          <w:szCs w:val="24"/>
          <w:lang w:val="en-US"/>
          <w14:textFill>
            <w14:solidFill>
              <w14:schemeClr w14:val="tx1"/>
            </w14:solidFill>
          </w14:textFill>
        </w:rPr>
      </w:pPr>
    </w:p>
    <w:p>
      <w:pPr>
        <w:pStyle w:val="13"/>
        <w:spacing w:after="0" w:line="360" w:lineRule="auto"/>
        <w:ind w:left="1560" w:firstLine="992"/>
        <w:jc w:val="both"/>
        <w:rPr>
          <w:rFonts w:hint="default" w:ascii="Cambria" w:hAnsi="Cambria" w:cs="Cambria"/>
          <w:color w:val="000000" w:themeColor="text1"/>
          <w:sz w:val="24"/>
          <w:szCs w:val="24"/>
          <w:lang w:val="en-US"/>
          <w14:textFill>
            <w14:solidFill>
              <w14:schemeClr w14:val="tx1"/>
            </w14:solidFill>
          </w14:textFill>
        </w:rPr>
      </w:pPr>
    </w:p>
    <w:p>
      <w:pPr>
        <w:pStyle w:val="13"/>
        <w:spacing w:after="0" w:line="360" w:lineRule="auto"/>
        <w:ind w:left="1560" w:firstLine="992"/>
        <w:jc w:val="both"/>
        <w:rPr>
          <w:rFonts w:hint="default" w:ascii="Cambria" w:hAnsi="Cambria" w:cs="Cambria"/>
          <w:sz w:val="24"/>
          <w:szCs w:val="24"/>
        </w:rPr>
      </w:pPr>
    </w:p>
    <w:p>
      <w:pPr>
        <w:pStyle w:val="13"/>
        <w:spacing w:after="0" w:line="360" w:lineRule="auto"/>
        <w:ind w:left="1560" w:firstLine="992"/>
        <w:jc w:val="both"/>
        <w:rPr>
          <w:rFonts w:hint="default" w:ascii="Cambria" w:hAnsi="Cambria" w:cs="Cambria"/>
          <w:sz w:val="24"/>
          <w:szCs w:val="24"/>
        </w:rPr>
      </w:pPr>
    </w:p>
    <w:p>
      <w:pPr>
        <w:spacing w:after="0" w:line="360" w:lineRule="auto"/>
        <w:jc w:val="both"/>
        <w:rPr>
          <w:rFonts w:hint="default" w:ascii="Cambria" w:hAnsi="Cambria" w:cs="Cambria"/>
          <w:sz w:val="24"/>
          <w:szCs w:val="24"/>
        </w:rPr>
      </w:pPr>
    </w:p>
    <w:p>
      <w:pPr>
        <w:spacing w:after="0" w:line="360" w:lineRule="auto"/>
        <w:jc w:val="both"/>
        <w:rPr>
          <w:rFonts w:hint="default" w:ascii="Cambria" w:hAnsi="Cambria" w:cs="Cambria"/>
          <w:b/>
          <w:sz w:val="24"/>
          <w:szCs w:val="24"/>
        </w:rPr>
      </w:pPr>
    </w:p>
    <w:p>
      <w:pPr>
        <w:pStyle w:val="13"/>
        <w:numPr>
          <w:ilvl w:val="1"/>
          <w:numId w:val="43"/>
        </w:numPr>
        <w:spacing w:after="0" w:line="360" w:lineRule="auto"/>
        <w:ind w:left="1560" w:hanging="709"/>
        <w:jc w:val="both"/>
        <w:rPr>
          <w:rFonts w:hint="default" w:ascii="Cambria" w:hAnsi="Cambria" w:cs="Cambria"/>
          <w:b/>
          <w:sz w:val="24"/>
          <w:szCs w:val="24"/>
        </w:rPr>
      </w:pPr>
      <w:r>
        <w:rPr>
          <w:rFonts w:hint="default" w:ascii="Cambria" w:hAnsi="Cambria" w:cs="Cambria"/>
          <w:b/>
          <w:sz w:val="24"/>
          <w:szCs w:val="24"/>
        </w:rPr>
        <w:t>Persentase Peningkatan Sentra UKM Potensial yang dikembangkan</w:t>
      </w:r>
    </w:p>
    <w:p>
      <w:pPr>
        <w:pStyle w:val="13"/>
        <w:spacing w:after="0" w:line="360" w:lineRule="auto"/>
        <w:ind w:left="1560"/>
        <w:jc w:val="both"/>
        <w:rPr>
          <w:rFonts w:hint="default" w:ascii="Cambria" w:hAnsi="Cambria" w:cs="Cambria"/>
          <w:color w:val="0070C0"/>
          <w:sz w:val="24"/>
          <w:szCs w:val="24"/>
        </w:rPr>
      </w:pPr>
      <w:r>
        <w:rPr>
          <w:rFonts w:hint="default" w:ascii="Cambria" w:hAnsi="Cambria" w:cs="Cambria"/>
          <w:sz w:val="24"/>
          <w:szCs w:val="24"/>
        </w:rPr>
        <w:t xml:space="preserve">Persentase Peningkatan Sentra UKM Potensial yang dikembangkan didukung oleh Program Pemberdayaan Usaha Menengah, Usaha Kecil, dan Usaha Mikro (UMKM) , dengan kegiatan Pemberdayaan Usaha Mikro yang dilakukan melalui Pendataan, Kemitraan, Kemudahan Perizinan, Penguatan Kelembagaan dan Koordinasi dengan Para Pemangku Kepentingan, </w:t>
      </w:r>
      <w:r>
        <w:rPr>
          <w:rFonts w:hint="default" w:ascii="Cambria" w:hAnsi="Cambria" w:cs="Cambria"/>
          <w:color w:val="000000" w:themeColor="text1"/>
          <w:sz w:val="24"/>
          <w:szCs w:val="24"/>
          <w14:textFill>
            <w14:solidFill>
              <w14:schemeClr w14:val="tx1"/>
            </w14:solidFill>
          </w14:textFill>
        </w:rPr>
        <w:t>output dengan pemberian bantuan peralatan kepada pelaku usaha mikro dan kecil sebanyak 1</w:t>
      </w:r>
      <w:r>
        <w:rPr>
          <w:rFonts w:hint="default" w:ascii="Cambria" w:hAnsi="Cambria" w:cs="Cambria"/>
          <w:color w:val="000000" w:themeColor="text1"/>
          <w:sz w:val="24"/>
          <w:szCs w:val="24"/>
          <w:lang w:val="en-US"/>
          <w14:textFill>
            <w14:solidFill>
              <w14:schemeClr w14:val="tx1"/>
            </w14:solidFill>
          </w14:textFill>
        </w:rPr>
        <w:t>32</w:t>
      </w:r>
      <w:r>
        <w:rPr>
          <w:rFonts w:hint="default" w:ascii="Cambria" w:hAnsi="Cambria" w:cs="Cambria"/>
          <w:color w:val="000000" w:themeColor="text1"/>
          <w:sz w:val="24"/>
          <w:szCs w:val="24"/>
          <w14:textFill>
            <w14:solidFill>
              <w14:schemeClr w14:val="tx1"/>
            </w14:solidFill>
          </w14:textFill>
        </w:rPr>
        <w:t xml:space="preserve"> unit dalam </w:t>
      </w:r>
      <w:r>
        <w:rPr>
          <w:rFonts w:hint="default" w:ascii="Cambria" w:hAnsi="Cambria" w:cs="Cambria"/>
          <w:color w:val="000000" w:themeColor="text1"/>
          <w:sz w:val="24"/>
          <w:szCs w:val="24"/>
          <w:lang w:val="en-US"/>
          <w14:textFill>
            <w14:solidFill>
              <w14:schemeClr w14:val="tx1"/>
            </w14:solidFill>
          </w14:textFill>
        </w:rPr>
        <w:t xml:space="preserve">45 </w:t>
      </w:r>
      <w:r>
        <w:rPr>
          <w:rFonts w:hint="default" w:ascii="Cambria" w:hAnsi="Cambria" w:cs="Cambria"/>
          <w:color w:val="000000" w:themeColor="text1"/>
          <w:sz w:val="24"/>
          <w:szCs w:val="24"/>
          <w14:textFill>
            <w14:solidFill>
              <w14:schemeClr w14:val="tx1"/>
            </w14:solidFill>
          </w14:textFill>
        </w:rPr>
        <w:t xml:space="preserve"> kelompok.</w:t>
      </w:r>
    </w:p>
    <w:p>
      <w:pPr>
        <w:pStyle w:val="13"/>
        <w:spacing w:after="0" w:line="360" w:lineRule="auto"/>
        <w:ind w:left="1560"/>
        <w:jc w:val="both"/>
        <w:rPr>
          <w:rFonts w:hint="default" w:ascii="Cambria" w:hAnsi="Cambria" w:cs="Cambria"/>
          <w:color w:val="0070C0"/>
          <w:sz w:val="24"/>
          <w:szCs w:val="24"/>
        </w:rPr>
      </w:pPr>
    </w:p>
    <w:p>
      <w:pPr>
        <w:pStyle w:val="13"/>
        <w:spacing w:after="0" w:line="360" w:lineRule="auto"/>
        <w:ind w:left="1560"/>
        <w:jc w:val="both"/>
        <w:rPr>
          <w:rFonts w:hint="default" w:ascii="Cambria" w:hAnsi="Cambria" w:cs="Cambria"/>
          <w:color w:val="0070C0"/>
          <w:sz w:val="24"/>
          <w:szCs w:val="24"/>
        </w:rPr>
      </w:pPr>
    </w:p>
    <w:p>
      <w:pPr>
        <w:pStyle w:val="13"/>
        <w:spacing w:after="0" w:line="360" w:lineRule="auto"/>
        <w:ind w:left="1560"/>
        <w:jc w:val="both"/>
        <w:rPr>
          <w:rFonts w:hint="default" w:ascii="Cambria" w:hAnsi="Cambria" w:cs="Cambria"/>
          <w:color w:val="0070C0"/>
          <w:sz w:val="24"/>
          <w:szCs w:val="24"/>
        </w:rPr>
      </w:pPr>
    </w:p>
    <w:p>
      <w:pPr>
        <w:pStyle w:val="19"/>
        <w:tabs>
          <w:tab w:val="left" w:pos="1418"/>
        </w:tabs>
        <w:spacing w:line="360" w:lineRule="auto"/>
        <w:jc w:val="center"/>
        <w:rPr>
          <w:rFonts w:hint="default" w:ascii="Cambria" w:hAnsi="Cambria" w:cs="Cambria"/>
          <w:sz w:val="24"/>
          <w:szCs w:val="24"/>
        </w:rPr>
      </w:pPr>
      <w:r>
        <w:rPr>
          <w:rFonts w:hint="default" w:ascii="Cambria" w:hAnsi="Cambria" w:cs="Cambria"/>
          <w:sz w:val="24"/>
          <w:szCs w:val="24"/>
        </w:rPr>
        <w:t>Tabel 3.2.5</w:t>
      </w:r>
    </w:p>
    <w:p>
      <w:pPr>
        <w:pStyle w:val="19"/>
        <w:tabs>
          <w:tab w:val="left" w:pos="1418"/>
        </w:tabs>
        <w:spacing w:line="360" w:lineRule="auto"/>
        <w:jc w:val="center"/>
        <w:rPr>
          <w:rFonts w:hint="default" w:ascii="Cambria" w:hAnsi="Cambria" w:cs="Cambria"/>
          <w:sz w:val="24"/>
          <w:szCs w:val="24"/>
        </w:rPr>
      </w:pPr>
    </w:p>
    <w:p>
      <w:pPr>
        <w:spacing w:line="360" w:lineRule="auto"/>
        <w:jc w:val="both"/>
        <w:rPr>
          <w:rFonts w:hint="default" w:ascii="Cambria" w:hAnsi="Cambria" w:cs="Cambria"/>
          <w:sz w:val="24"/>
          <w:szCs w:val="24"/>
        </w:rPr>
      </w:pPr>
      <w:r>
        <w:rPr>
          <w:rFonts w:hint="default" w:ascii="Cambria" w:hAnsi="Cambria" w:cs="Cambria"/>
          <w:sz w:val="24"/>
          <w:szCs w:val="24"/>
        </w:rPr>
        <w:t>Total Keseluruhan Jumlah Penerima Bantuan dari Tahun 2017-202</w:t>
      </w:r>
      <w:r>
        <w:rPr>
          <w:rFonts w:hint="default" w:ascii="Cambria" w:hAnsi="Cambria" w:cs="Cambria"/>
          <w:sz w:val="24"/>
          <w:szCs w:val="24"/>
          <w:lang w:val="en-US"/>
        </w:rPr>
        <w:t>2</w:t>
      </w:r>
      <w:r>
        <w:rPr>
          <w:rFonts w:hint="default" w:ascii="Cambria" w:hAnsi="Cambria" w:cs="Cambria"/>
          <w:sz w:val="24"/>
          <w:szCs w:val="24"/>
        </w:rPr>
        <w:t xml:space="preserve"> Sebanyak </w:t>
      </w:r>
      <w:r>
        <w:rPr>
          <w:rFonts w:hint="default" w:ascii="Cambria" w:hAnsi="Cambria" w:cs="Cambria"/>
          <w:sz w:val="24"/>
          <w:szCs w:val="24"/>
          <w:lang w:val="en-US"/>
        </w:rPr>
        <w:t>500</w:t>
      </w:r>
      <w:r>
        <w:rPr>
          <w:rFonts w:hint="default" w:ascii="Cambria" w:hAnsi="Cambria" w:cs="Cambria"/>
          <w:sz w:val="24"/>
          <w:szCs w:val="24"/>
        </w:rPr>
        <w:t xml:space="preserve"> Kelompok, dengan Jumlah Unit Sebanyak </w:t>
      </w:r>
      <w:r>
        <w:rPr>
          <w:rFonts w:hint="default" w:ascii="Cambria" w:hAnsi="Cambria" w:cs="Cambria"/>
          <w:sz w:val="24"/>
          <w:szCs w:val="24"/>
          <w:lang w:val="en-US"/>
        </w:rPr>
        <w:t>2.813</w:t>
      </w:r>
      <w:r>
        <w:rPr>
          <w:rFonts w:hint="default" w:ascii="Cambria" w:hAnsi="Cambria" w:cs="Cambria"/>
          <w:sz w:val="24"/>
          <w:szCs w:val="24"/>
        </w:rPr>
        <w:t xml:space="preserve"> Unit Bantuan Peralatan.</w:t>
      </w:r>
    </w:p>
    <w:p>
      <w:pPr>
        <w:keepNext w:val="0"/>
        <w:keepLines w:val="0"/>
        <w:pageBreakBefore w:val="0"/>
        <w:widowControl/>
        <w:kinsoku/>
        <w:wordWrap/>
        <w:overflowPunct/>
        <w:topLinePunct w:val="0"/>
        <w:autoSpaceDE/>
        <w:autoSpaceDN/>
        <w:bidi w:val="0"/>
        <w:adjustRightInd/>
        <w:snapToGrid/>
        <w:spacing w:after="0" w:line="360" w:lineRule="auto"/>
        <w:jc w:val="center"/>
        <w:textAlignment w:val="auto"/>
        <w:rPr>
          <w:rFonts w:hint="default" w:ascii="Cambria" w:hAnsi="Cambria" w:cs="Cambria"/>
          <w:i/>
          <w:sz w:val="24"/>
          <w:szCs w:val="24"/>
        </w:rPr>
      </w:pPr>
      <w:r>
        <w:rPr>
          <w:rFonts w:hint="default" w:ascii="Cambria" w:hAnsi="Cambria" w:cs="Cambria"/>
          <w:i/>
          <w:sz w:val="24"/>
          <w:szCs w:val="24"/>
        </w:rPr>
        <w:t>Anggaran Pengadaaan Peralatan Tahun 20</w:t>
      </w:r>
      <w:r>
        <w:rPr>
          <w:rFonts w:hint="default" w:ascii="Cambria" w:hAnsi="Cambria" w:cs="Cambria"/>
          <w:i/>
          <w:sz w:val="24"/>
          <w:szCs w:val="24"/>
          <w:lang w:val="en-US"/>
        </w:rPr>
        <w:t>2</w:t>
      </w:r>
      <w:r>
        <w:rPr>
          <w:rFonts w:hint="default" w:ascii="Cambria" w:hAnsi="Cambria" w:cs="Cambria"/>
          <w:i/>
          <w:sz w:val="24"/>
          <w:szCs w:val="24"/>
        </w:rPr>
        <w:t>2 Sebesar Rp. 2.245.196.000,- terdiri dari :</w:t>
      </w:r>
    </w:p>
    <w:p>
      <w:pPr>
        <w:spacing w:after="0" w:line="360" w:lineRule="auto"/>
        <w:jc w:val="center"/>
        <w:rPr>
          <w:rFonts w:hint="default" w:ascii="Cambria" w:hAnsi="Cambria" w:cs="Cambria"/>
          <w:sz w:val="24"/>
          <w:szCs w:val="24"/>
        </w:rPr>
      </w:pPr>
    </w:p>
    <w:tbl>
      <w:tblPr>
        <w:tblStyle w:val="3"/>
        <w:tblW w:w="0" w:type="auto"/>
        <w:tblInd w:w="1175" w:type="dxa"/>
        <w:tblLayout w:type="autofit"/>
        <w:tblCellMar>
          <w:top w:w="0" w:type="dxa"/>
          <w:left w:w="108" w:type="dxa"/>
          <w:bottom w:w="0" w:type="dxa"/>
          <w:right w:w="108" w:type="dxa"/>
        </w:tblCellMar>
      </w:tblPr>
      <w:tblGrid>
        <w:gridCol w:w="516"/>
        <w:gridCol w:w="3194"/>
        <w:gridCol w:w="1774"/>
        <w:gridCol w:w="1270"/>
      </w:tblGrid>
      <w:tr>
        <w:tblPrEx>
          <w:tblCellMar>
            <w:top w:w="0" w:type="dxa"/>
            <w:left w:w="108" w:type="dxa"/>
            <w:bottom w:w="0" w:type="dxa"/>
            <w:right w:w="108" w:type="dxa"/>
          </w:tblCellMar>
        </w:tblPrEx>
        <w:tc>
          <w:tcPr>
            <w:tcW w:w="503" w:type="dxa"/>
            <w:shd w:val="clear" w:color="auto" w:fill="C3BD96" w:themeFill="background2" w:themeFillShade="BF"/>
          </w:tcPr>
          <w:p>
            <w:pPr>
              <w:spacing w:after="0"/>
              <w:jc w:val="center"/>
              <w:rPr>
                <w:rFonts w:hint="default" w:ascii="Cambria" w:hAnsi="Cambria" w:cs="Cambria"/>
                <w:b/>
                <w:sz w:val="24"/>
                <w:szCs w:val="24"/>
              </w:rPr>
            </w:pPr>
            <w:r>
              <w:rPr>
                <w:rFonts w:hint="default" w:ascii="Cambria" w:hAnsi="Cambria" w:cs="Cambria"/>
                <w:b/>
                <w:sz w:val="24"/>
                <w:szCs w:val="24"/>
              </w:rPr>
              <w:t>No</w:t>
            </w:r>
          </w:p>
        </w:tc>
        <w:tc>
          <w:tcPr>
            <w:tcW w:w="3194" w:type="dxa"/>
            <w:shd w:val="clear" w:color="auto" w:fill="C3BD96" w:themeFill="background2" w:themeFillShade="BF"/>
          </w:tcPr>
          <w:p>
            <w:pPr>
              <w:spacing w:after="0"/>
              <w:jc w:val="center"/>
              <w:rPr>
                <w:rFonts w:hint="default" w:ascii="Cambria" w:hAnsi="Cambria" w:cs="Cambria"/>
                <w:b/>
                <w:sz w:val="24"/>
                <w:szCs w:val="24"/>
              </w:rPr>
            </w:pPr>
            <w:r>
              <w:rPr>
                <w:rFonts w:hint="default" w:ascii="Cambria" w:hAnsi="Cambria" w:cs="Cambria"/>
                <w:b/>
                <w:sz w:val="24"/>
                <w:szCs w:val="24"/>
              </w:rPr>
              <w:t>Jenis Pengadaan</w:t>
            </w:r>
          </w:p>
        </w:tc>
        <w:tc>
          <w:tcPr>
            <w:tcW w:w="1774" w:type="dxa"/>
            <w:shd w:val="clear" w:color="auto" w:fill="C3BD96" w:themeFill="background2" w:themeFillShade="BF"/>
          </w:tcPr>
          <w:p>
            <w:pPr>
              <w:spacing w:after="0"/>
              <w:jc w:val="center"/>
              <w:rPr>
                <w:rFonts w:hint="default" w:ascii="Cambria" w:hAnsi="Cambria" w:cs="Cambria"/>
                <w:b/>
                <w:sz w:val="24"/>
                <w:szCs w:val="24"/>
              </w:rPr>
            </w:pPr>
            <w:r>
              <w:rPr>
                <w:rFonts w:hint="default" w:ascii="Cambria" w:hAnsi="Cambria" w:cs="Cambria"/>
                <w:b/>
                <w:sz w:val="24"/>
                <w:szCs w:val="24"/>
              </w:rPr>
              <w:t>Jumlah Kelompok</w:t>
            </w:r>
          </w:p>
        </w:tc>
        <w:tc>
          <w:tcPr>
            <w:tcW w:w="1270" w:type="dxa"/>
            <w:shd w:val="clear" w:color="auto" w:fill="C3BD96" w:themeFill="background2" w:themeFillShade="BF"/>
          </w:tcPr>
          <w:p>
            <w:pPr>
              <w:spacing w:after="0"/>
              <w:jc w:val="center"/>
              <w:rPr>
                <w:rFonts w:hint="default" w:ascii="Cambria" w:hAnsi="Cambria" w:cs="Cambria"/>
                <w:b/>
                <w:sz w:val="24"/>
                <w:szCs w:val="24"/>
              </w:rPr>
            </w:pPr>
            <w:r>
              <w:rPr>
                <w:rFonts w:hint="default" w:ascii="Cambria" w:hAnsi="Cambria" w:cs="Cambria"/>
                <w:b/>
                <w:sz w:val="24"/>
                <w:szCs w:val="24"/>
              </w:rPr>
              <w:t>Jumlah Unit</w:t>
            </w:r>
          </w:p>
        </w:tc>
      </w:tr>
      <w:tr>
        <w:tblPrEx>
          <w:tblCellMar>
            <w:top w:w="0" w:type="dxa"/>
            <w:left w:w="108" w:type="dxa"/>
            <w:bottom w:w="0" w:type="dxa"/>
            <w:right w:w="108" w:type="dxa"/>
          </w:tblCellMar>
        </w:tblPrEx>
        <w:tc>
          <w:tcPr>
            <w:tcW w:w="503" w:type="dxa"/>
          </w:tcPr>
          <w:p>
            <w:pPr>
              <w:spacing w:after="0"/>
              <w:jc w:val="center"/>
              <w:rPr>
                <w:rFonts w:hint="default" w:ascii="Cambria" w:hAnsi="Cambria" w:cs="Cambria"/>
                <w:sz w:val="24"/>
                <w:szCs w:val="24"/>
              </w:rPr>
            </w:pPr>
            <w:r>
              <w:rPr>
                <w:rFonts w:hint="default" w:ascii="Cambria" w:hAnsi="Cambria" w:cs="Cambria"/>
                <w:sz w:val="24"/>
                <w:szCs w:val="24"/>
              </w:rPr>
              <w:t>1</w:t>
            </w:r>
          </w:p>
        </w:tc>
        <w:tc>
          <w:tcPr>
            <w:tcW w:w="3194" w:type="dxa"/>
          </w:tcPr>
          <w:p>
            <w:pPr>
              <w:spacing w:after="0"/>
              <w:rPr>
                <w:rFonts w:hint="default" w:ascii="Cambria" w:hAnsi="Cambria" w:cs="Cambria"/>
                <w:sz w:val="24"/>
                <w:szCs w:val="24"/>
                <w:lang w:val="en-US"/>
              </w:rPr>
            </w:pPr>
            <w:r>
              <w:rPr>
                <w:rFonts w:hint="default" w:ascii="Cambria" w:hAnsi="Cambria" w:cs="Cambria"/>
                <w:sz w:val="24"/>
                <w:szCs w:val="24"/>
                <w:lang w:val="en-US"/>
              </w:rPr>
              <w:t>Pengadaan Depot Air Minum</w:t>
            </w:r>
          </w:p>
        </w:tc>
        <w:tc>
          <w:tcPr>
            <w:tcW w:w="1774"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 xml:space="preserve">2 </w:t>
            </w:r>
          </w:p>
        </w:tc>
        <w:tc>
          <w:tcPr>
            <w:tcW w:w="1270"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2</w:t>
            </w:r>
          </w:p>
        </w:tc>
      </w:tr>
      <w:tr>
        <w:tblPrEx>
          <w:tblCellMar>
            <w:top w:w="0" w:type="dxa"/>
            <w:left w:w="108" w:type="dxa"/>
            <w:bottom w:w="0" w:type="dxa"/>
            <w:right w:w="108" w:type="dxa"/>
          </w:tblCellMar>
        </w:tblPrEx>
        <w:tc>
          <w:tcPr>
            <w:tcW w:w="503" w:type="dxa"/>
          </w:tcPr>
          <w:p>
            <w:pPr>
              <w:spacing w:after="0"/>
              <w:jc w:val="center"/>
              <w:rPr>
                <w:rFonts w:hint="default" w:ascii="Cambria" w:hAnsi="Cambria" w:cs="Cambria"/>
                <w:sz w:val="24"/>
                <w:szCs w:val="24"/>
              </w:rPr>
            </w:pPr>
            <w:r>
              <w:rPr>
                <w:rFonts w:hint="default" w:ascii="Cambria" w:hAnsi="Cambria" w:cs="Cambria"/>
                <w:sz w:val="24"/>
                <w:szCs w:val="24"/>
              </w:rPr>
              <w:t>2</w:t>
            </w:r>
          </w:p>
        </w:tc>
        <w:tc>
          <w:tcPr>
            <w:tcW w:w="3194" w:type="dxa"/>
          </w:tcPr>
          <w:p>
            <w:pPr>
              <w:spacing w:after="0"/>
              <w:rPr>
                <w:rFonts w:hint="default" w:ascii="Cambria" w:hAnsi="Cambria" w:cs="Cambria"/>
                <w:sz w:val="24"/>
                <w:szCs w:val="24"/>
                <w:lang w:val="en-US"/>
              </w:rPr>
            </w:pPr>
            <w:r>
              <w:rPr>
                <w:rFonts w:hint="default" w:ascii="Cambria" w:hAnsi="Cambria" w:cs="Cambria"/>
                <w:sz w:val="24"/>
                <w:szCs w:val="24"/>
                <w:lang w:val="en-US"/>
              </w:rPr>
              <w:t>Pengadaan AMDK</w:t>
            </w:r>
          </w:p>
        </w:tc>
        <w:tc>
          <w:tcPr>
            <w:tcW w:w="1774"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1</w:t>
            </w:r>
          </w:p>
        </w:tc>
        <w:tc>
          <w:tcPr>
            <w:tcW w:w="1270"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1</w:t>
            </w:r>
          </w:p>
        </w:tc>
      </w:tr>
      <w:tr>
        <w:tblPrEx>
          <w:tblCellMar>
            <w:top w:w="0" w:type="dxa"/>
            <w:left w:w="108" w:type="dxa"/>
            <w:bottom w:w="0" w:type="dxa"/>
            <w:right w:w="108" w:type="dxa"/>
          </w:tblCellMar>
        </w:tblPrEx>
        <w:tc>
          <w:tcPr>
            <w:tcW w:w="503" w:type="dxa"/>
          </w:tcPr>
          <w:p>
            <w:pPr>
              <w:spacing w:after="0"/>
              <w:jc w:val="center"/>
              <w:rPr>
                <w:rFonts w:hint="default" w:ascii="Cambria" w:hAnsi="Cambria" w:cs="Cambria"/>
                <w:sz w:val="24"/>
                <w:szCs w:val="24"/>
              </w:rPr>
            </w:pPr>
            <w:r>
              <w:rPr>
                <w:rFonts w:hint="default" w:ascii="Cambria" w:hAnsi="Cambria" w:cs="Cambria"/>
                <w:sz w:val="24"/>
                <w:szCs w:val="24"/>
              </w:rPr>
              <w:t>3</w:t>
            </w:r>
          </w:p>
        </w:tc>
        <w:tc>
          <w:tcPr>
            <w:tcW w:w="3194" w:type="dxa"/>
          </w:tcPr>
          <w:p>
            <w:pPr>
              <w:spacing w:after="0"/>
              <w:rPr>
                <w:rFonts w:hint="default" w:ascii="Cambria" w:hAnsi="Cambria" w:cs="Cambria"/>
                <w:sz w:val="24"/>
                <w:szCs w:val="24"/>
                <w:lang w:val="en-US"/>
              </w:rPr>
            </w:pPr>
            <w:r>
              <w:rPr>
                <w:rFonts w:hint="default" w:ascii="Cambria" w:hAnsi="Cambria" w:cs="Cambria"/>
                <w:sz w:val="24"/>
                <w:szCs w:val="24"/>
                <w:lang w:val="en-US"/>
              </w:rPr>
              <w:t>Pengadaan Masak-memasak</w:t>
            </w:r>
          </w:p>
        </w:tc>
        <w:tc>
          <w:tcPr>
            <w:tcW w:w="1774"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11</w:t>
            </w:r>
          </w:p>
        </w:tc>
        <w:tc>
          <w:tcPr>
            <w:tcW w:w="1270"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55</w:t>
            </w:r>
          </w:p>
        </w:tc>
      </w:tr>
      <w:tr>
        <w:tblPrEx>
          <w:tblCellMar>
            <w:top w:w="0" w:type="dxa"/>
            <w:left w:w="108" w:type="dxa"/>
            <w:bottom w:w="0" w:type="dxa"/>
            <w:right w:w="108" w:type="dxa"/>
          </w:tblCellMar>
        </w:tblPrEx>
        <w:tc>
          <w:tcPr>
            <w:tcW w:w="503" w:type="dxa"/>
          </w:tcPr>
          <w:p>
            <w:pPr>
              <w:spacing w:after="0"/>
              <w:jc w:val="center"/>
              <w:rPr>
                <w:rFonts w:hint="default" w:ascii="Cambria" w:hAnsi="Cambria" w:cs="Cambria"/>
                <w:sz w:val="24"/>
                <w:szCs w:val="24"/>
              </w:rPr>
            </w:pPr>
            <w:r>
              <w:rPr>
                <w:rFonts w:hint="default" w:ascii="Cambria" w:hAnsi="Cambria" w:cs="Cambria"/>
                <w:sz w:val="24"/>
                <w:szCs w:val="24"/>
              </w:rPr>
              <w:t>4</w:t>
            </w:r>
          </w:p>
        </w:tc>
        <w:tc>
          <w:tcPr>
            <w:tcW w:w="3194" w:type="dxa"/>
          </w:tcPr>
          <w:p>
            <w:pPr>
              <w:spacing w:after="0"/>
              <w:rPr>
                <w:rFonts w:hint="default" w:ascii="Cambria" w:hAnsi="Cambria" w:cs="Cambria"/>
                <w:sz w:val="24"/>
                <w:szCs w:val="24"/>
                <w:lang w:val="en-US"/>
              </w:rPr>
            </w:pPr>
            <w:r>
              <w:rPr>
                <w:rFonts w:hint="default" w:ascii="Cambria" w:hAnsi="Cambria" w:cs="Cambria"/>
                <w:sz w:val="24"/>
                <w:szCs w:val="24"/>
                <w:lang w:val="en-US"/>
              </w:rPr>
              <w:t>Mesin Jahit</w:t>
            </w:r>
          </w:p>
        </w:tc>
        <w:tc>
          <w:tcPr>
            <w:tcW w:w="1774"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6</w:t>
            </w:r>
          </w:p>
        </w:tc>
        <w:tc>
          <w:tcPr>
            <w:tcW w:w="1270"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35</w:t>
            </w:r>
          </w:p>
        </w:tc>
      </w:tr>
      <w:tr>
        <w:tblPrEx>
          <w:tblCellMar>
            <w:top w:w="0" w:type="dxa"/>
            <w:left w:w="108" w:type="dxa"/>
            <w:bottom w:w="0" w:type="dxa"/>
            <w:right w:w="108" w:type="dxa"/>
          </w:tblCellMar>
        </w:tblPrEx>
        <w:tc>
          <w:tcPr>
            <w:tcW w:w="503" w:type="dxa"/>
          </w:tcPr>
          <w:p>
            <w:pPr>
              <w:spacing w:after="0"/>
              <w:jc w:val="center"/>
              <w:rPr>
                <w:rFonts w:hint="default" w:ascii="Cambria" w:hAnsi="Cambria" w:cs="Cambria"/>
                <w:sz w:val="24"/>
                <w:szCs w:val="24"/>
              </w:rPr>
            </w:pPr>
            <w:r>
              <w:rPr>
                <w:rFonts w:hint="default" w:ascii="Cambria" w:hAnsi="Cambria" w:cs="Cambria"/>
                <w:sz w:val="24"/>
                <w:szCs w:val="24"/>
              </w:rPr>
              <w:t>5</w:t>
            </w:r>
          </w:p>
        </w:tc>
        <w:tc>
          <w:tcPr>
            <w:tcW w:w="3194" w:type="dxa"/>
          </w:tcPr>
          <w:p>
            <w:pPr>
              <w:spacing w:after="0"/>
              <w:rPr>
                <w:rFonts w:hint="default" w:ascii="Cambria" w:hAnsi="Cambria" w:cs="Cambria"/>
                <w:sz w:val="24"/>
                <w:szCs w:val="24"/>
                <w:lang w:val="en-US"/>
              </w:rPr>
            </w:pPr>
            <w:r>
              <w:rPr>
                <w:rFonts w:hint="default" w:ascii="Cambria" w:hAnsi="Cambria" w:cs="Cambria"/>
                <w:sz w:val="24"/>
                <w:szCs w:val="24"/>
                <w:lang w:val="en-US"/>
              </w:rPr>
              <w:t>Parut Kelapan</w:t>
            </w:r>
          </w:p>
        </w:tc>
        <w:tc>
          <w:tcPr>
            <w:tcW w:w="1774"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7</w:t>
            </w:r>
          </w:p>
        </w:tc>
        <w:tc>
          <w:tcPr>
            <w:tcW w:w="1270"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36</w:t>
            </w:r>
          </w:p>
        </w:tc>
      </w:tr>
      <w:tr>
        <w:tblPrEx>
          <w:tblCellMar>
            <w:top w:w="0" w:type="dxa"/>
            <w:left w:w="108" w:type="dxa"/>
            <w:bottom w:w="0" w:type="dxa"/>
            <w:right w:w="108" w:type="dxa"/>
          </w:tblCellMar>
        </w:tblPrEx>
        <w:tc>
          <w:tcPr>
            <w:tcW w:w="503" w:type="dxa"/>
          </w:tcPr>
          <w:p>
            <w:pPr>
              <w:spacing w:after="0"/>
              <w:jc w:val="center"/>
              <w:rPr>
                <w:rFonts w:hint="default" w:ascii="Cambria" w:hAnsi="Cambria" w:cs="Cambria"/>
                <w:sz w:val="24"/>
                <w:szCs w:val="24"/>
              </w:rPr>
            </w:pPr>
            <w:r>
              <w:rPr>
                <w:rFonts w:hint="default" w:ascii="Cambria" w:hAnsi="Cambria" w:cs="Cambria"/>
                <w:sz w:val="24"/>
                <w:szCs w:val="24"/>
              </w:rPr>
              <w:t>6</w:t>
            </w:r>
          </w:p>
        </w:tc>
        <w:tc>
          <w:tcPr>
            <w:tcW w:w="3194" w:type="dxa"/>
          </w:tcPr>
          <w:p>
            <w:pPr>
              <w:spacing w:after="0"/>
              <w:rPr>
                <w:rFonts w:hint="default" w:ascii="Cambria" w:hAnsi="Cambria" w:cs="Cambria"/>
                <w:sz w:val="24"/>
                <w:szCs w:val="24"/>
                <w:lang w:val="en-US"/>
              </w:rPr>
            </w:pPr>
            <w:r>
              <w:rPr>
                <w:rFonts w:hint="default" w:ascii="Cambria" w:hAnsi="Cambria" w:cs="Cambria"/>
                <w:sz w:val="24"/>
                <w:szCs w:val="24"/>
                <w:lang w:val="en-US"/>
              </w:rPr>
              <w:t xml:space="preserve">Ada Pertukangan </w:t>
            </w:r>
          </w:p>
        </w:tc>
        <w:tc>
          <w:tcPr>
            <w:tcW w:w="1774"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10</w:t>
            </w:r>
          </w:p>
        </w:tc>
        <w:tc>
          <w:tcPr>
            <w:tcW w:w="1270"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70</w:t>
            </w:r>
          </w:p>
        </w:tc>
      </w:tr>
      <w:tr>
        <w:tblPrEx>
          <w:tblCellMar>
            <w:top w:w="0" w:type="dxa"/>
            <w:left w:w="108" w:type="dxa"/>
            <w:bottom w:w="0" w:type="dxa"/>
            <w:right w:w="108" w:type="dxa"/>
          </w:tblCellMar>
        </w:tblPrEx>
        <w:tc>
          <w:tcPr>
            <w:tcW w:w="503" w:type="dxa"/>
          </w:tcPr>
          <w:p>
            <w:pPr>
              <w:spacing w:after="0"/>
              <w:jc w:val="center"/>
              <w:rPr>
                <w:rFonts w:hint="default" w:ascii="Cambria" w:hAnsi="Cambria" w:cs="Cambria"/>
                <w:sz w:val="24"/>
                <w:szCs w:val="24"/>
              </w:rPr>
            </w:pPr>
            <w:r>
              <w:rPr>
                <w:rFonts w:hint="default" w:ascii="Cambria" w:hAnsi="Cambria" w:cs="Cambria"/>
                <w:sz w:val="24"/>
                <w:szCs w:val="24"/>
              </w:rPr>
              <w:t>7</w:t>
            </w:r>
          </w:p>
        </w:tc>
        <w:tc>
          <w:tcPr>
            <w:tcW w:w="3194" w:type="dxa"/>
          </w:tcPr>
          <w:p>
            <w:pPr>
              <w:spacing w:after="0"/>
              <w:rPr>
                <w:rFonts w:hint="default" w:ascii="Cambria" w:hAnsi="Cambria" w:cs="Cambria"/>
                <w:sz w:val="24"/>
                <w:szCs w:val="24"/>
                <w:lang w:val="en-US"/>
              </w:rPr>
            </w:pPr>
            <w:r>
              <w:rPr>
                <w:rFonts w:hint="default" w:ascii="Cambria" w:hAnsi="Cambria" w:cs="Cambria"/>
                <w:sz w:val="24"/>
                <w:szCs w:val="24"/>
                <w:lang w:val="en-US"/>
              </w:rPr>
              <w:t>Perbengkelam</w:t>
            </w:r>
          </w:p>
        </w:tc>
        <w:tc>
          <w:tcPr>
            <w:tcW w:w="1774"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8</w:t>
            </w:r>
          </w:p>
        </w:tc>
        <w:tc>
          <w:tcPr>
            <w:tcW w:w="1270" w:type="dxa"/>
          </w:tcPr>
          <w:p>
            <w:pPr>
              <w:spacing w:after="0"/>
              <w:jc w:val="center"/>
              <w:rPr>
                <w:rFonts w:hint="default" w:ascii="Cambria" w:hAnsi="Cambria" w:cs="Cambria"/>
                <w:sz w:val="24"/>
                <w:szCs w:val="24"/>
                <w:lang w:val="en-US"/>
              </w:rPr>
            </w:pPr>
            <w:r>
              <w:rPr>
                <w:rFonts w:hint="default" w:ascii="Cambria" w:hAnsi="Cambria" w:cs="Cambria"/>
                <w:sz w:val="24"/>
                <w:szCs w:val="24"/>
                <w:lang w:val="en-US"/>
              </w:rPr>
              <w:t>73 Unit</w:t>
            </w:r>
          </w:p>
        </w:tc>
      </w:tr>
      <w:tr>
        <w:tblPrEx>
          <w:tblCellMar>
            <w:top w:w="0" w:type="dxa"/>
            <w:left w:w="108" w:type="dxa"/>
            <w:bottom w:w="0" w:type="dxa"/>
            <w:right w:w="108" w:type="dxa"/>
          </w:tblCellMar>
        </w:tblPrEx>
        <w:tc>
          <w:tcPr>
            <w:tcW w:w="3697" w:type="dxa"/>
            <w:gridSpan w:val="2"/>
          </w:tcPr>
          <w:p>
            <w:pPr>
              <w:spacing w:after="0"/>
              <w:jc w:val="center"/>
              <w:rPr>
                <w:rFonts w:hint="default" w:ascii="Cambria" w:hAnsi="Cambria" w:cs="Cambria"/>
                <w:b/>
                <w:sz w:val="24"/>
                <w:szCs w:val="24"/>
              </w:rPr>
            </w:pPr>
            <w:r>
              <w:rPr>
                <w:rFonts w:hint="default" w:ascii="Cambria" w:hAnsi="Cambria" w:cs="Cambria"/>
                <w:b/>
                <w:sz w:val="24"/>
                <w:szCs w:val="24"/>
              </w:rPr>
              <w:t>Jumlah</w:t>
            </w:r>
          </w:p>
        </w:tc>
        <w:tc>
          <w:tcPr>
            <w:tcW w:w="1774" w:type="dxa"/>
          </w:tcPr>
          <w:p>
            <w:pPr>
              <w:spacing w:after="0"/>
              <w:jc w:val="center"/>
              <w:rPr>
                <w:rFonts w:hint="default" w:ascii="Cambria" w:hAnsi="Cambria" w:cs="Cambria"/>
                <w:b/>
                <w:sz w:val="24"/>
                <w:szCs w:val="24"/>
              </w:rPr>
            </w:pPr>
            <w:r>
              <w:rPr>
                <w:rFonts w:hint="default" w:ascii="Cambria" w:hAnsi="Cambria" w:cs="Cambria"/>
                <w:b/>
                <w:sz w:val="24"/>
                <w:szCs w:val="24"/>
                <w:lang w:val="en-US"/>
              </w:rPr>
              <w:t>45</w:t>
            </w:r>
            <w:r>
              <w:rPr>
                <w:rFonts w:hint="default" w:ascii="Cambria" w:hAnsi="Cambria" w:cs="Cambria"/>
                <w:b/>
                <w:sz w:val="24"/>
                <w:szCs w:val="24"/>
              </w:rPr>
              <w:t xml:space="preserve"> Kelompok</w:t>
            </w:r>
          </w:p>
        </w:tc>
        <w:tc>
          <w:tcPr>
            <w:tcW w:w="1270" w:type="dxa"/>
          </w:tcPr>
          <w:p>
            <w:pPr>
              <w:spacing w:after="0"/>
              <w:jc w:val="center"/>
              <w:rPr>
                <w:rFonts w:hint="default" w:ascii="Cambria" w:hAnsi="Cambria" w:cs="Cambria"/>
                <w:b/>
                <w:sz w:val="24"/>
                <w:szCs w:val="24"/>
              </w:rPr>
            </w:pPr>
            <w:r>
              <w:rPr>
                <w:rFonts w:hint="default" w:ascii="Cambria" w:hAnsi="Cambria" w:cs="Cambria"/>
                <w:b/>
                <w:sz w:val="24"/>
                <w:szCs w:val="24"/>
                <w:lang w:val="en-US"/>
              </w:rPr>
              <w:t>132</w:t>
            </w:r>
            <w:r>
              <w:rPr>
                <w:rFonts w:hint="default" w:ascii="Cambria" w:hAnsi="Cambria" w:cs="Cambria"/>
                <w:b/>
                <w:sz w:val="24"/>
                <w:szCs w:val="24"/>
              </w:rPr>
              <w:t xml:space="preserve"> Unit</w:t>
            </w:r>
          </w:p>
        </w:tc>
      </w:tr>
    </w:tbl>
    <w:p>
      <w:pPr>
        <w:spacing w:after="0" w:line="360" w:lineRule="auto"/>
        <w:jc w:val="center"/>
        <w:rPr>
          <w:rFonts w:hint="default" w:ascii="Cambria" w:hAnsi="Cambria" w:cs="Cambria"/>
          <w:sz w:val="24"/>
          <w:szCs w:val="24"/>
        </w:rPr>
      </w:pPr>
    </w:p>
    <w:p>
      <w:pPr>
        <w:spacing w:line="360" w:lineRule="auto"/>
        <w:ind w:left="1134"/>
        <w:rPr>
          <w:rFonts w:hint="default" w:ascii="Cambria" w:hAnsi="Cambria" w:cs="Cambria"/>
          <w:i/>
          <w:sz w:val="24"/>
          <w:szCs w:val="24"/>
        </w:rPr>
      </w:pPr>
      <w:r>
        <w:rPr>
          <w:rFonts w:hint="default" w:ascii="Cambria" w:hAnsi="Cambria" w:cs="Cambria"/>
          <w:sz w:val="24"/>
          <w:szCs w:val="24"/>
        </w:rPr>
        <w:t xml:space="preserve"> </w:t>
      </w:r>
      <w:r>
        <w:rPr>
          <w:rFonts w:hint="default" w:ascii="Cambria" w:hAnsi="Cambria" w:cs="Cambria"/>
          <w:i/>
          <w:sz w:val="24"/>
          <w:szCs w:val="24"/>
        </w:rPr>
        <w:t>Anggaran Pengadaaan Peralatan Tahun 2021 Sebesar Rp. 2.245.196.000,- terdiri dari :</w:t>
      </w:r>
    </w:p>
    <w:tbl>
      <w:tblPr>
        <w:tblStyle w:val="3"/>
        <w:tblW w:w="7513" w:type="dxa"/>
        <w:tblInd w:w="437" w:type="dxa"/>
        <w:tblLayout w:type="autofit"/>
        <w:tblCellMar>
          <w:top w:w="0" w:type="dxa"/>
          <w:left w:w="108" w:type="dxa"/>
          <w:bottom w:w="0" w:type="dxa"/>
          <w:right w:w="108" w:type="dxa"/>
        </w:tblCellMar>
      </w:tblPr>
      <w:tblGrid>
        <w:gridCol w:w="520"/>
        <w:gridCol w:w="3940"/>
        <w:gridCol w:w="1777"/>
        <w:gridCol w:w="1276"/>
      </w:tblGrid>
      <w:tr>
        <w:tblPrEx>
          <w:tblCellMar>
            <w:top w:w="0" w:type="dxa"/>
            <w:left w:w="108" w:type="dxa"/>
            <w:bottom w:w="0" w:type="dxa"/>
            <w:right w:w="108" w:type="dxa"/>
          </w:tblCellMar>
        </w:tblPrEx>
        <w:trPr>
          <w:trHeight w:val="300" w:hRule="atLeast"/>
        </w:trPr>
        <w:tc>
          <w:tcPr>
            <w:tcW w:w="520" w:type="dxa"/>
            <w:tcBorders>
              <w:top w:val="single" w:color="auto" w:sz="4" w:space="0"/>
              <w:left w:val="single" w:color="auto" w:sz="4" w:space="0"/>
              <w:bottom w:val="single" w:color="000000" w:sz="4" w:space="0"/>
              <w:right w:val="single" w:color="auto" w:sz="4" w:space="0"/>
            </w:tcBorders>
            <w:shd w:val="clear" w:color="auto" w:fill="C3BD96" w:themeFill="background2" w:themeFillShade="BF"/>
            <w:noWrap/>
            <w:vAlign w:val="center"/>
          </w:tcPr>
          <w:p>
            <w:pPr>
              <w:spacing w:after="0"/>
              <w:jc w:val="center"/>
              <w:rPr>
                <w:rFonts w:hint="default" w:ascii="Cambria" w:hAnsi="Cambria" w:cs="Cambria"/>
                <w:b/>
                <w:bCs/>
                <w:color w:val="000000"/>
                <w:sz w:val="24"/>
                <w:szCs w:val="24"/>
              </w:rPr>
            </w:pPr>
            <w:r>
              <w:rPr>
                <w:rFonts w:hint="default" w:ascii="Cambria" w:hAnsi="Cambria" w:cs="Cambria"/>
                <w:b/>
                <w:bCs/>
                <w:color w:val="000000"/>
                <w:sz w:val="24"/>
                <w:szCs w:val="24"/>
              </w:rPr>
              <w:t>No</w:t>
            </w:r>
          </w:p>
        </w:tc>
        <w:tc>
          <w:tcPr>
            <w:tcW w:w="3940" w:type="dxa"/>
            <w:tcBorders>
              <w:top w:val="single" w:color="auto" w:sz="4" w:space="0"/>
              <w:left w:val="single" w:color="auto" w:sz="4" w:space="0"/>
              <w:bottom w:val="single" w:color="000000" w:sz="4" w:space="0"/>
              <w:right w:val="single" w:color="auto" w:sz="4" w:space="0"/>
            </w:tcBorders>
            <w:shd w:val="clear" w:color="auto" w:fill="C3BD96" w:themeFill="background2" w:themeFillShade="BF"/>
            <w:noWrap/>
            <w:vAlign w:val="center"/>
          </w:tcPr>
          <w:p>
            <w:pPr>
              <w:spacing w:after="0"/>
              <w:jc w:val="center"/>
              <w:rPr>
                <w:rFonts w:hint="default" w:ascii="Cambria" w:hAnsi="Cambria" w:cs="Cambria"/>
                <w:b/>
                <w:bCs/>
                <w:color w:val="000000"/>
                <w:sz w:val="24"/>
                <w:szCs w:val="24"/>
              </w:rPr>
            </w:pPr>
            <w:r>
              <w:rPr>
                <w:rFonts w:hint="default" w:ascii="Cambria" w:hAnsi="Cambria" w:cs="Cambria"/>
                <w:b/>
                <w:bCs/>
                <w:color w:val="000000"/>
                <w:sz w:val="24"/>
                <w:szCs w:val="24"/>
              </w:rPr>
              <w:t>Jenis Pengadaan</w:t>
            </w:r>
          </w:p>
        </w:tc>
        <w:tc>
          <w:tcPr>
            <w:tcW w:w="1777" w:type="dxa"/>
            <w:tcBorders>
              <w:top w:val="single" w:color="auto" w:sz="4" w:space="0"/>
              <w:left w:val="nil"/>
              <w:bottom w:val="nil"/>
              <w:right w:val="single" w:color="auto" w:sz="4" w:space="0"/>
            </w:tcBorders>
            <w:shd w:val="clear" w:color="auto" w:fill="C3BD96" w:themeFill="background2" w:themeFillShade="BF"/>
            <w:noWrap/>
            <w:vAlign w:val="bottom"/>
          </w:tcPr>
          <w:p>
            <w:pPr>
              <w:spacing w:after="0"/>
              <w:jc w:val="center"/>
              <w:rPr>
                <w:rFonts w:hint="default" w:ascii="Cambria" w:hAnsi="Cambria" w:cs="Cambria"/>
                <w:b/>
                <w:bCs/>
                <w:color w:val="000000"/>
                <w:sz w:val="24"/>
                <w:szCs w:val="24"/>
              </w:rPr>
            </w:pPr>
            <w:r>
              <w:rPr>
                <w:rFonts w:hint="default" w:ascii="Cambria" w:hAnsi="Cambria" w:cs="Cambria"/>
                <w:b/>
                <w:bCs/>
                <w:color w:val="000000"/>
                <w:sz w:val="24"/>
                <w:szCs w:val="24"/>
              </w:rPr>
              <w:t>Jumlah Kelompok</w:t>
            </w:r>
          </w:p>
        </w:tc>
        <w:tc>
          <w:tcPr>
            <w:tcW w:w="1276" w:type="dxa"/>
            <w:tcBorders>
              <w:top w:val="single" w:color="auto" w:sz="4" w:space="0"/>
              <w:left w:val="nil"/>
              <w:bottom w:val="nil"/>
              <w:right w:val="single" w:color="auto" w:sz="4" w:space="0"/>
            </w:tcBorders>
            <w:shd w:val="clear" w:color="auto" w:fill="C3BD96" w:themeFill="background2" w:themeFillShade="BF"/>
            <w:noWrap/>
            <w:vAlign w:val="bottom"/>
          </w:tcPr>
          <w:p>
            <w:pPr>
              <w:spacing w:after="0"/>
              <w:jc w:val="center"/>
              <w:rPr>
                <w:rFonts w:hint="default" w:ascii="Cambria" w:hAnsi="Cambria" w:cs="Cambria"/>
                <w:b/>
                <w:bCs/>
                <w:color w:val="000000"/>
                <w:sz w:val="24"/>
                <w:szCs w:val="24"/>
              </w:rPr>
            </w:pPr>
            <w:r>
              <w:rPr>
                <w:rFonts w:hint="default" w:ascii="Cambria" w:hAnsi="Cambria" w:cs="Cambria"/>
                <w:b/>
                <w:bCs/>
                <w:color w:val="000000"/>
                <w:sz w:val="24"/>
                <w:szCs w:val="24"/>
              </w:rPr>
              <w:t>Jumlah Unit</w:t>
            </w:r>
          </w:p>
        </w:tc>
      </w:tr>
      <w:tr>
        <w:tblPrEx>
          <w:tblCellMar>
            <w:top w:w="0" w:type="dxa"/>
            <w:left w:w="108" w:type="dxa"/>
            <w:bottom w:w="0" w:type="dxa"/>
            <w:right w:w="108" w:type="dxa"/>
          </w:tblCellMar>
        </w:tblPrEx>
        <w:trPr>
          <w:trHeight w:val="300" w:hRule="atLeast"/>
        </w:trPr>
        <w:tc>
          <w:tcPr>
            <w:tcW w:w="520" w:type="dxa"/>
            <w:tcBorders>
              <w:top w:val="nil"/>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1</w:t>
            </w:r>
          </w:p>
        </w:tc>
        <w:tc>
          <w:tcPr>
            <w:tcW w:w="3940" w:type="dxa"/>
            <w:tcBorders>
              <w:top w:val="nil"/>
              <w:left w:val="nil"/>
              <w:bottom w:val="single" w:color="auto" w:sz="4" w:space="0"/>
              <w:right w:val="single" w:color="auto" w:sz="4" w:space="0"/>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Pengadaan Alat Depot Air Minum</w:t>
            </w:r>
          </w:p>
        </w:tc>
        <w:tc>
          <w:tcPr>
            <w:tcW w:w="1777"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2</w:t>
            </w:r>
          </w:p>
        </w:tc>
        <w:tc>
          <w:tcPr>
            <w:tcW w:w="1276"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2 unit</w:t>
            </w:r>
          </w:p>
        </w:tc>
      </w:tr>
      <w:tr>
        <w:tblPrEx>
          <w:tblCellMar>
            <w:top w:w="0" w:type="dxa"/>
            <w:left w:w="108" w:type="dxa"/>
            <w:bottom w:w="0" w:type="dxa"/>
            <w:right w:w="108" w:type="dxa"/>
          </w:tblCellMar>
        </w:tblPrEx>
        <w:trPr>
          <w:trHeight w:val="300" w:hRule="atLeast"/>
        </w:trPr>
        <w:tc>
          <w:tcPr>
            <w:tcW w:w="520" w:type="dxa"/>
            <w:tcBorders>
              <w:top w:val="nil"/>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2</w:t>
            </w:r>
          </w:p>
        </w:tc>
        <w:tc>
          <w:tcPr>
            <w:tcW w:w="3940" w:type="dxa"/>
            <w:tcBorders>
              <w:top w:val="nil"/>
              <w:left w:val="nil"/>
              <w:bottom w:val="single" w:color="auto" w:sz="4" w:space="0"/>
              <w:right w:val="single" w:color="auto" w:sz="4" w:space="0"/>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Pengadaan Mesin Mixer Pembuat Roti</w:t>
            </w:r>
          </w:p>
        </w:tc>
        <w:tc>
          <w:tcPr>
            <w:tcW w:w="1777"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3</w:t>
            </w:r>
          </w:p>
        </w:tc>
        <w:tc>
          <w:tcPr>
            <w:tcW w:w="1276"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20 Unit</w:t>
            </w:r>
          </w:p>
        </w:tc>
      </w:tr>
      <w:tr>
        <w:tblPrEx>
          <w:tblCellMar>
            <w:top w:w="0" w:type="dxa"/>
            <w:left w:w="108" w:type="dxa"/>
            <w:bottom w:w="0" w:type="dxa"/>
            <w:right w:w="108" w:type="dxa"/>
          </w:tblCellMar>
        </w:tblPrEx>
        <w:trPr>
          <w:trHeight w:val="300" w:hRule="atLeast"/>
        </w:trPr>
        <w:tc>
          <w:tcPr>
            <w:tcW w:w="520" w:type="dxa"/>
            <w:tcBorders>
              <w:top w:val="nil"/>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3</w:t>
            </w:r>
          </w:p>
        </w:tc>
        <w:tc>
          <w:tcPr>
            <w:tcW w:w="3940" w:type="dxa"/>
            <w:tcBorders>
              <w:top w:val="nil"/>
              <w:left w:val="nil"/>
              <w:bottom w:val="single" w:color="auto" w:sz="4" w:space="0"/>
              <w:right w:val="single" w:color="auto" w:sz="4" w:space="0"/>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Pengadaan Mesin jahit</w:t>
            </w:r>
          </w:p>
        </w:tc>
        <w:tc>
          <w:tcPr>
            <w:tcW w:w="1777"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3</w:t>
            </w:r>
          </w:p>
        </w:tc>
        <w:tc>
          <w:tcPr>
            <w:tcW w:w="1276"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12 Unit</w:t>
            </w:r>
          </w:p>
        </w:tc>
      </w:tr>
      <w:tr>
        <w:tblPrEx>
          <w:tblCellMar>
            <w:top w:w="0" w:type="dxa"/>
            <w:left w:w="108" w:type="dxa"/>
            <w:bottom w:w="0" w:type="dxa"/>
            <w:right w:w="108" w:type="dxa"/>
          </w:tblCellMar>
        </w:tblPrEx>
        <w:trPr>
          <w:trHeight w:val="300" w:hRule="atLeast"/>
        </w:trPr>
        <w:tc>
          <w:tcPr>
            <w:tcW w:w="520" w:type="dxa"/>
            <w:tcBorders>
              <w:top w:val="nil"/>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4</w:t>
            </w:r>
          </w:p>
        </w:tc>
        <w:tc>
          <w:tcPr>
            <w:tcW w:w="3940" w:type="dxa"/>
            <w:tcBorders>
              <w:top w:val="nil"/>
              <w:left w:val="nil"/>
              <w:bottom w:val="single" w:color="auto" w:sz="4" w:space="0"/>
              <w:right w:val="single" w:color="auto" w:sz="4" w:space="0"/>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PengadaanMesin Obras</w:t>
            </w:r>
          </w:p>
        </w:tc>
        <w:tc>
          <w:tcPr>
            <w:tcW w:w="1777"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3</w:t>
            </w:r>
          </w:p>
        </w:tc>
        <w:tc>
          <w:tcPr>
            <w:tcW w:w="1276"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9 Unit</w:t>
            </w:r>
          </w:p>
        </w:tc>
      </w:tr>
      <w:tr>
        <w:tblPrEx>
          <w:tblCellMar>
            <w:top w:w="0" w:type="dxa"/>
            <w:left w:w="108" w:type="dxa"/>
            <w:bottom w:w="0" w:type="dxa"/>
            <w:right w:w="108" w:type="dxa"/>
          </w:tblCellMar>
        </w:tblPrEx>
        <w:trPr>
          <w:trHeight w:val="300" w:hRule="atLeast"/>
        </w:trPr>
        <w:tc>
          <w:tcPr>
            <w:tcW w:w="520" w:type="dxa"/>
            <w:tcBorders>
              <w:top w:val="nil"/>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5</w:t>
            </w:r>
          </w:p>
        </w:tc>
        <w:tc>
          <w:tcPr>
            <w:tcW w:w="3940" w:type="dxa"/>
            <w:tcBorders>
              <w:top w:val="nil"/>
              <w:left w:val="nil"/>
              <w:bottom w:val="single" w:color="auto" w:sz="4" w:space="0"/>
              <w:right w:val="single" w:color="auto" w:sz="4" w:space="0"/>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Pengadaan Mesin penggiling tepung ikan</w:t>
            </w:r>
          </w:p>
        </w:tc>
        <w:tc>
          <w:tcPr>
            <w:tcW w:w="1777"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1</w:t>
            </w:r>
          </w:p>
        </w:tc>
        <w:tc>
          <w:tcPr>
            <w:tcW w:w="1276"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1 Unit</w:t>
            </w:r>
          </w:p>
        </w:tc>
      </w:tr>
      <w:tr>
        <w:tblPrEx>
          <w:tblCellMar>
            <w:top w:w="0" w:type="dxa"/>
            <w:left w:w="108" w:type="dxa"/>
            <w:bottom w:w="0" w:type="dxa"/>
            <w:right w:w="108" w:type="dxa"/>
          </w:tblCellMar>
        </w:tblPrEx>
        <w:trPr>
          <w:trHeight w:val="300" w:hRule="atLeast"/>
        </w:trPr>
        <w:tc>
          <w:tcPr>
            <w:tcW w:w="520" w:type="dxa"/>
            <w:tcBorders>
              <w:top w:val="nil"/>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6</w:t>
            </w:r>
          </w:p>
        </w:tc>
        <w:tc>
          <w:tcPr>
            <w:tcW w:w="3940" w:type="dxa"/>
            <w:tcBorders>
              <w:top w:val="nil"/>
              <w:left w:val="nil"/>
              <w:bottom w:val="single" w:color="auto" w:sz="4" w:space="0"/>
              <w:right w:val="single" w:color="auto" w:sz="4" w:space="0"/>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Pengadaan Pertukangan</w:t>
            </w:r>
          </w:p>
        </w:tc>
        <w:tc>
          <w:tcPr>
            <w:tcW w:w="1777"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14</w:t>
            </w:r>
          </w:p>
        </w:tc>
        <w:tc>
          <w:tcPr>
            <w:tcW w:w="1276"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92 unit</w:t>
            </w:r>
          </w:p>
        </w:tc>
      </w:tr>
      <w:tr>
        <w:tblPrEx>
          <w:tblCellMar>
            <w:top w:w="0" w:type="dxa"/>
            <w:left w:w="108" w:type="dxa"/>
            <w:bottom w:w="0" w:type="dxa"/>
            <w:right w:w="108" w:type="dxa"/>
          </w:tblCellMar>
        </w:tblPrEx>
        <w:trPr>
          <w:trHeight w:val="300" w:hRule="atLeast"/>
        </w:trPr>
        <w:tc>
          <w:tcPr>
            <w:tcW w:w="520" w:type="dxa"/>
            <w:tcBorders>
              <w:top w:val="nil"/>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7</w:t>
            </w:r>
          </w:p>
        </w:tc>
        <w:tc>
          <w:tcPr>
            <w:tcW w:w="3940" w:type="dxa"/>
            <w:tcBorders>
              <w:top w:val="nil"/>
              <w:left w:val="nil"/>
              <w:bottom w:val="single" w:color="auto" w:sz="4" w:space="0"/>
              <w:right w:val="single" w:color="auto" w:sz="4" w:space="0"/>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Pengadaan Mesin Sentri Fugar</w:t>
            </w:r>
          </w:p>
        </w:tc>
        <w:tc>
          <w:tcPr>
            <w:tcW w:w="1777"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4</w:t>
            </w:r>
          </w:p>
        </w:tc>
        <w:tc>
          <w:tcPr>
            <w:tcW w:w="1276"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4 Unit</w:t>
            </w:r>
          </w:p>
        </w:tc>
      </w:tr>
      <w:tr>
        <w:tblPrEx>
          <w:tblCellMar>
            <w:top w:w="0" w:type="dxa"/>
            <w:left w:w="108" w:type="dxa"/>
            <w:bottom w:w="0" w:type="dxa"/>
            <w:right w:w="108" w:type="dxa"/>
          </w:tblCellMar>
        </w:tblPrEx>
        <w:trPr>
          <w:trHeight w:val="300" w:hRule="atLeast"/>
        </w:trPr>
        <w:tc>
          <w:tcPr>
            <w:tcW w:w="520" w:type="dxa"/>
            <w:tcBorders>
              <w:top w:val="nil"/>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8</w:t>
            </w:r>
          </w:p>
        </w:tc>
        <w:tc>
          <w:tcPr>
            <w:tcW w:w="3940" w:type="dxa"/>
            <w:tcBorders>
              <w:top w:val="nil"/>
              <w:left w:val="nil"/>
              <w:bottom w:val="single" w:color="auto" w:sz="4" w:space="0"/>
              <w:right w:val="single" w:color="auto" w:sz="4" w:space="0"/>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Pengadaan Mesin penggiling Mie</w:t>
            </w:r>
          </w:p>
        </w:tc>
        <w:tc>
          <w:tcPr>
            <w:tcW w:w="1777"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9</w:t>
            </w:r>
          </w:p>
        </w:tc>
        <w:tc>
          <w:tcPr>
            <w:tcW w:w="1276"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27 Unit</w:t>
            </w:r>
          </w:p>
        </w:tc>
      </w:tr>
      <w:tr>
        <w:tblPrEx>
          <w:tblCellMar>
            <w:top w:w="0" w:type="dxa"/>
            <w:left w:w="108" w:type="dxa"/>
            <w:bottom w:w="0" w:type="dxa"/>
            <w:right w:w="108" w:type="dxa"/>
          </w:tblCellMar>
        </w:tblPrEx>
        <w:trPr>
          <w:trHeight w:val="300" w:hRule="atLeast"/>
        </w:trPr>
        <w:tc>
          <w:tcPr>
            <w:tcW w:w="520" w:type="dxa"/>
            <w:tcBorders>
              <w:top w:val="nil"/>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9</w:t>
            </w:r>
          </w:p>
        </w:tc>
        <w:tc>
          <w:tcPr>
            <w:tcW w:w="3940" w:type="dxa"/>
            <w:tcBorders>
              <w:top w:val="nil"/>
              <w:left w:val="nil"/>
              <w:bottom w:val="single" w:color="auto" w:sz="4" w:space="0"/>
              <w:right w:val="single" w:color="auto" w:sz="4" w:space="0"/>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Pengadaan Mesin Pemeras kelapa</w:t>
            </w:r>
          </w:p>
        </w:tc>
        <w:tc>
          <w:tcPr>
            <w:tcW w:w="1777"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9</w:t>
            </w:r>
          </w:p>
        </w:tc>
        <w:tc>
          <w:tcPr>
            <w:tcW w:w="1276"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9 Unit</w:t>
            </w:r>
          </w:p>
        </w:tc>
      </w:tr>
      <w:tr>
        <w:tblPrEx>
          <w:tblCellMar>
            <w:top w:w="0" w:type="dxa"/>
            <w:left w:w="108" w:type="dxa"/>
            <w:bottom w:w="0" w:type="dxa"/>
            <w:right w:w="108" w:type="dxa"/>
          </w:tblCellMar>
        </w:tblPrEx>
        <w:trPr>
          <w:trHeight w:val="300" w:hRule="atLeast"/>
        </w:trPr>
        <w:tc>
          <w:tcPr>
            <w:tcW w:w="520" w:type="dxa"/>
            <w:tcBorders>
              <w:top w:val="nil"/>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10</w:t>
            </w:r>
          </w:p>
        </w:tc>
        <w:tc>
          <w:tcPr>
            <w:tcW w:w="3940" w:type="dxa"/>
            <w:tcBorders>
              <w:top w:val="nil"/>
              <w:left w:val="nil"/>
              <w:bottom w:val="single" w:color="auto" w:sz="4" w:space="0"/>
              <w:right w:val="single" w:color="auto" w:sz="4" w:space="0"/>
            </w:tcBorders>
            <w:shd w:val="clear" w:color="auto" w:fill="auto"/>
            <w:noWrap/>
            <w:vAlign w:val="bottom"/>
          </w:tcPr>
          <w:p>
            <w:pPr>
              <w:spacing w:after="0"/>
              <w:rPr>
                <w:rFonts w:hint="default" w:ascii="Cambria" w:hAnsi="Cambria" w:cs="Cambria"/>
                <w:color w:val="000000"/>
                <w:sz w:val="24"/>
                <w:szCs w:val="24"/>
              </w:rPr>
            </w:pPr>
            <w:r>
              <w:rPr>
                <w:rFonts w:hint="default" w:ascii="Cambria" w:hAnsi="Cambria" w:cs="Cambria"/>
                <w:color w:val="000000"/>
                <w:sz w:val="24"/>
                <w:szCs w:val="24"/>
              </w:rPr>
              <w:t>Pengadaan mesin gula Merah</w:t>
            </w:r>
          </w:p>
        </w:tc>
        <w:tc>
          <w:tcPr>
            <w:tcW w:w="1777"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4</w:t>
            </w:r>
          </w:p>
        </w:tc>
        <w:tc>
          <w:tcPr>
            <w:tcW w:w="1276" w:type="dxa"/>
            <w:tcBorders>
              <w:top w:val="nil"/>
              <w:left w:val="nil"/>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4Unit</w:t>
            </w:r>
          </w:p>
        </w:tc>
      </w:tr>
      <w:tr>
        <w:tblPrEx>
          <w:tblCellMar>
            <w:top w:w="0" w:type="dxa"/>
            <w:left w:w="108" w:type="dxa"/>
            <w:bottom w:w="0" w:type="dxa"/>
            <w:right w:w="108" w:type="dxa"/>
          </w:tblCellMar>
        </w:tblPrEx>
        <w:trPr>
          <w:trHeight w:val="375" w:hRule="atLeast"/>
        </w:trPr>
        <w:tc>
          <w:tcPr>
            <w:tcW w:w="520" w:type="dxa"/>
            <w:tcBorders>
              <w:top w:val="nil"/>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 </w:t>
            </w:r>
          </w:p>
        </w:tc>
        <w:tc>
          <w:tcPr>
            <w:tcW w:w="39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Jumlah</w:t>
            </w:r>
          </w:p>
        </w:tc>
        <w:tc>
          <w:tcPr>
            <w:tcW w:w="1777"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52</w:t>
            </w:r>
          </w:p>
        </w:tc>
        <w:tc>
          <w:tcPr>
            <w:tcW w:w="1276"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4"/>
                <w:szCs w:val="24"/>
              </w:rPr>
            </w:pPr>
            <w:r>
              <w:rPr>
                <w:rFonts w:hint="default" w:ascii="Cambria" w:hAnsi="Cambria" w:cs="Cambria"/>
                <w:color w:val="000000"/>
                <w:sz w:val="24"/>
                <w:szCs w:val="24"/>
              </w:rPr>
              <w:t>180 Unit</w:t>
            </w:r>
          </w:p>
        </w:tc>
      </w:tr>
    </w:tbl>
    <w:p>
      <w:pPr>
        <w:spacing w:line="360" w:lineRule="auto"/>
        <w:ind w:left="1134"/>
        <w:rPr>
          <w:rFonts w:hint="default" w:ascii="Cambria" w:hAnsi="Cambria" w:cs="Cambria"/>
          <w:i/>
          <w:sz w:val="24"/>
          <w:szCs w:val="24"/>
        </w:rPr>
      </w:pPr>
      <w:r>
        <w:rPr>
          <w:rFonts w:hint="default" w:ascii="Cambria" w:hAnsi="Cambria" w:cs="Cambria"/>
          <w:i/>
          <w:sz w:val="24"/>
          <w:szCs w:val="24"/>
        </w:rPr>
        <w:t>Anggaran Pengadaan Peralatan Tahun 2017 Sebesar Rp. 1.506.772.250,- terdiri dari :</w:t>
      </w:r>
    </w:p>
    <w:tbl>
      <w:tblPr>
        <w:tblStyle w:val="10"/>
        <w:tblW w:w="0" w:type="auto"/>
        <w:tblInd w:w="77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16"/>
        <w:gridCol w:w="3191"/>
        <w:gridCol w:w="1776"/>
        <w:gridCol w:w="12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4"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No</w:t>
            </w:r>
          </w:p>
        </w:tc>
        <w:tc>
          <w:tcPr>
            <w:tcW w:w="3191"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Jenis Pengadaan</w:t>
            </w:r>
          </w:p>
        </w:tc>
        <w:tc>
          <w:tcPr>
            <w:tcW w:w="1776"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Jumlah Kelompok</w:t>
            </w:r>
          </w:p>
        </w:tc>
        <w:tc>
          <w:tcPr>
            <w:tcW w:w="1270"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Jumlah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w:t>
            </w:r>
          </w:p>
        </w:tc>
        <w:tc>
          <w:tcPr>
            <w:tcW w:w="3191"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Peralatan Masak Memasak</w:t>
            </w:r>
          </w:p>
        </w:tc>
        <w:tc>
          <w:tcPr>
            <w:tcW w:w="17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23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427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w:t>
            </w:r>
          </w:p>
        </w:tc>
        <w:tc>
          <w:tcPr>
            <w:tcW w:w="3191"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Mesin Spinner</w:t>
            </w:r>
          </w:p>
        </w:tc>
        <w:tc>
          <w:tcPr>
            <w:tcW w:w="17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22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73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3</w:t>
            </w:r>
          </w:p>
        </w:tc>
        <w:tc>
          <w:tcPr>
            <w:tcW w:w="3191" w:type="dxa"/>
          </w:tcPr>
          <w:p>
            <w:pPr>
              <w:spacing w:after="0" w:line="240" w:lineRule="auto"/>
              <w:ind w:right="-75"/>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Mesin Penggiling Daging</w:t>
            </w:r>
          </w:p>
        </w:tc>
        <w:tc>
          <w:tcPr>
            <w:tcW w:w="17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15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30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4</w:t>
            </w:r>
          </w:p>
        </w:tc>
        <w:tc>
          <w:tcPr>
            <w:tcW w:w="3191"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Mesin Pembuat Roti</w:t>
            </w:r>
          </w:p>
        </w:tc>
        <w:tc>
          <w:tcPr>
            <w:tcW w:w="17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22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20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5</w:t>
            </w:r>
          </w:p>
        </w:tc>
        <w:tc>
          <w:tcPr>
            <w:tcW w:w="3191"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Alat Kacip</w:t>
            </w:r>
          </w:p>
        </w:tc>
        <w:tc>
          <w:tcPr>
            <w:tcW w:w="17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21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96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695" w:type="dxa"/>
            <w:gridSpan w:val="2"/>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Jumlah</w:t>
            </w:r>
          </w:p>
        </w:tc>
        <w:tc>
          <w:tcPr>
            <w:tcW w:w="1776" w:type="dxa"/>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103 Kelopok</w:t>
            </w:r>
          </w:p>
        </w:tc>
        <w:tc>
          <w:tcPr>
            <w:tcW w:w="1270" w:type="dxa"/>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217 Unit</w:t>
            </w:r>
          </w:p>
        </w:tc>
      </w:tr>
    </w:tbl>
    <w:p>
      <w:pPr>
        <w:spacing w:line="360" w:lineRule="auto"/>
        <w:ind w:left="1134"/>
        <w:rPr>
          <w:rFonts w:hint="default" w:ascii="Cambria" w:hAnsi="Cambria" w:cs="Cambria"/>
          <w:sz w:val="24"/>
          <w:szCs w:val="24"/>
        </w:rPr>
      </w:pPr>
    </w:p>
    <w:p>
      <w:pPr>
        <w:spacing w:after="0" w:line="360" w:lineRule="auto"/>
        <w:ind w:left="1134"/>
        <w:rPr>
          <w:rFonts w:hint="default" w:ascii="Cambria" w:hAnsi="Cambria" w:cs="Cambria"/>
          <w:i/>
          <w:sz w:val="24"/>
          <w:szCs w:val="24"/>
        </w:rPr>
      </w:pPr>
      <w:r>
        <w:rPr>
          <w:rFonts w:hint="default" w:ascii="Cambria" w:hAnsi="Cambria" w:cs="Cambria"/>
          <w:i/>
          <w:sz w:val="24"/>
          <w:szCs w:val="24"/>
        </w:rPr>
        <w:t>Anggaran Pengadaan Peralatan Tahun 2018 Sebesar Rp. 1.997.459.250,- terdiri dari :</w:t>
      </w:r>
    </w:p>
    <w:tbl>
      <w:tblPr>
        <w:tblStyle w:val="10"/>
        <w:tblW w:w="0" w:type="auto"/>
        <w:tblInd w:w="80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16"/>
        <w:gridCol w:w="3194"/>
        <w:gridCol w:w="1774"/>
        <w:gridCol w:w="12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No</w:t>
            </w:r>
          </w:p>
        </w:tc>
        <w:tc>
          <w:tcPr>
            <w:tcW w:w="3194"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Jenis Pengadaan</w:t>
            </w:r>
          </w:p>
        </w:tc>
        <w:tc>
          <w:tcPr>
            <w:tcW w:w="1774"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Jumlah Kelompok</w:t>
            </w:r>
          </w:p>
        </w:tc>
        <w:tc>
          <w:tcPr>
            <w:tcW w:w="1270"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Jumlah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w:t>
            </w:r>
          </w:p>
        </w:tc>
        <w:tc>
          <w:tcPr>
            <w:tcW w:w="319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Parut Kelapa</w:t>
            </w:r>
          </w:p>
        </w:tc>
        <w:tc>
          <w:tcPr>
            <w:tcW w:w="177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22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67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w:t>
            </w:r>
          </w:p>
        </w:tc>
        <w:tc>
          <w:tcPr>
            <w:tcW w:w="319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Alat Pengelolaan Ikan</w:t>
            </w:r>
          </w:p>
        </w:tc>
        <w:tc>
          <w:tcPr>
            <w:tcW w:w="177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20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60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3</w:t>
            </w:r>
          </w:p>
        </w:tc>
        <w:tc>
          <w:tcPr>
            <w:tcW w:w="319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Alat Pertukangan</w:t>
            </w:r>
          </w:p>
        </w:tc>
        <w:tc>
          <w:tcPr>
            <w:tcW w:w="177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22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22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4</w:t>
            </w:r>
          </w:p>
        </w:tc>
        <w:tc>
          <w:tcPr>
            <w:tcW w:w="319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Mesin Jahit Dan Obras</w:t>
            </w:r>
          </w:p>
        </w:tc>
        <w:tc>
          <w:tcPr>
            <w:tcW w:w="177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37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40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5</w:t>
            </w:r>
          </w:p>
        </w:tc>
        <w:tc>
          <w:tcPr>
            <w:tcW w:w="319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Oven Kue</w:t>
            </w:r>
          </w:p>
        </w:tc>
        <w:tc>
          <w:tcPr>
            <w:tcW w:w="177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20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20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6</w:t>
            </w:r>
          </w:p>
        </w:tc>
        <w:tc>
          <w:tcPr>
            <w:tcW w:w="319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Alat Vacum Pres</w:t>
            </w:r>
          </w:p>
        </w:tc>
        <w:tc>
          <w:tcPr>
            <w:tcW w:w="177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32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94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7</w:t>
            </w:r>
          </w:p>
        </w:tc>
        <w:tc>
          <w:tcPr>
            <w:tcW w:w="319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Alat Pemecah Kulit Kemiri</w:t>
            </w:r>
          </w:p>
        </w:tc>
        <w:tc>
          <w:tcPr>
            <w:tcW w:w="177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11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11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8</w:t>
            </w:r>
          </w:p>
        </w:tc>
        <w:tc>
          <w:tcPr>
            <w:tcW w:w="319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Mesin Pengering</w:t>
            </w:r>
          </w:p>
        </w:tc>
        <w:tc>
          <w:tcPr>
            <w:tcW w:w="177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12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12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9</w:t>
            </w:r>
          </w:p>
        </w:tc>
        <w:tc>
          <w:tcPr>
            <w:tcW w:w="319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Mesin Press Emping</w:t>
            </w:r>
          </w:p>
        </w:tc>
        <w:tc>
          <w:tcPr>
            <w:tcW w:w="177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16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16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10</w:t>
            </w:r>
          </w:p>
        </w:tc>
        <w:tc>
          <w:tcPr>
            <w:tcW w:w="319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Alat Kerajinan</w:t>
            </w:r>
          </w:p>
        </w:tc>
        <w:tc>
          <w:tcPr>
            <w:tcW w:w="1774"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17 Kelompok</w:t>
            </w:r>
          </w:p>
        </w:tc>
        <w:tc>
          <w:tcPr>
            <w:tcW w:w="1270"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272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697" w:type="dxa"/>
            <w:gridSpan w:val="2"/>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Jumlah</w:t>
            </w:r>
          </w:p>
        </w:tc>
        <w:tc>
          <w:tcPr>
            <w:tcW w:w="1774" w:type="dxa"/>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209 Kelompok</w:t>
            </w:r>
          </w:p>
        </w:tc>
        <w:tc>
          <w:tcPr>
            <w:tcW w:w="1270" w:type="dxa"/>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614 Unit</w:t>
            </w:r>
          </w:p>
        </w:tc>
      </w:tr>
    </w:tbl>
    <w:p>
      <w:pPr>
        <w:pStyle w:val="13"/>
        <w:spacing w:after="0" w:line="360" w:lineRule="auto"/>
        <w:ind w:left="1560"/>
        <w:jc w:val="both"/>
        <w:rPr>
          <w:rFonts w:hint="default" w:ascii="Cambria" w:hAnsi="Cambria" w:cs="Cambria"/>
          <w:sz w:val="24"/>
          <w:szCs w:val="24"/>
        </w:rPr>
      </w:pPr>
    </w:p>
    <w:p>
      <w:pPr>
        <w:pStyle w:val="13"/>
        <w:spacing w:after="0" w:line="360" w:lineRule="auto"/>
        <w:ind w:left="1134"/>
        <w:jc w:val="both"/>
        <w:rPr>
          <w:rFonts w:hint="default" w:ascii="Cambria" w:hAnsi="Cambria" w:cs="Cambria"/>
          <w:i/>
          <w:sz w:val="24"/>
          <w:szCs w:val="24"/>
        </w:rPr>
      </w:pPr>
      <w:r>
        <w:rPr>
          <w:rFonts w:hint="default" w:ascii="Cambria" w:hAnsi="Cambria" w:cs="Cambria"/>
          <w:i/>
          <w:sz w:val="24"/>
          <w:szCs w:val="24"/>
        </w:rPr>
        <w:t>Anggaran Pengadaaan Peralatan Tahun 2019 Sebesar Rp.1.258.575.000,- terdiri dari ini:</w:t>
      </w:r>
    </w:p>
    <w:tbl>
      <w:tblPr>
        <w:tblStyle w:val="10"/>
        <w:tblW w:w="7654"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16"/>
        <w:gridCol w:w="3755"/>
        <w:gridCol w:w="1974"/>
        <w:gridCol w:w="1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503"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No</w:t>
            </w:r>
          </w:p>
        </w:tc>
        <w:tc>
          <w:tcPr>
            <w:tcW w:w="3764"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Jenis Pengadaan</w:t>
            </w:r>
          </w:p>
        </w:tc>
        <w:tc>
          <w:tcPr>
            <w:tcW w:w="1976"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Jumlah Kelompok</w:t>
            </w:r>
          </w:p>
        </w:tc>
        <w:tc>
          <w:tcPr>
            <w:tcW w:w="1411" w:type="dxa"/>
            <w:shd w:val="clear" w:color="auto" w:fill="C3BD96" w:themeFill="background2" w:themeFillShade="BF"/>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Jumlah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w:t>
            </w:r>
          </w:p>
        </w:tc>
        <w:tc>
          <w:tcPr>
            <w:tcW w:w="376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Alat Perajang Keripik</w:t>
            </w:r>
          </w:p>
        </w:tc>
        <w:tc>
          <w:tcPr>
            <w:tcW w:w="19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15 Kelompok</w:t>
            </w:r>
          </w:p>
        </w:tc>
        <w:tc>
          <w:tcPr>
            <w:tcW w:w="1411"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105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w:t>
            </w:r>
          </w:p>
        </w:tc>
        <w:tc>
          <w:tcPr>
            <w:tcW w:w="376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Mesin Jahit Dan Obras</w:t>
            </w:r>
          </w:p>
        </w:tc>
        <w:tc>
          <w:tcPr>
            <w:tcW w:w="19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12 Kelompok</w:t>
            </w:r>
          </w:p>
        </w:tc>
        <w:tc>
          <w:tcPr>
            <w:tcW w:w="1411"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60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3</w:t>
            </w:r>
          </w:p>
        </w:tc>
        <w:tc>
          <w:tcPr>
            <w:tcW w:w="376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Mesin Pencetak Batu Merah</w:t>
            </w:r>
          </w:p>
        </w:tc>
        <w:tc>
          <w:tcPr>
            <w:tcW w:w="19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5 Kelompok</w:t>
            </w:r>
          </w:p>
        </w:tc>
        <w:tc>
          <w:tcPr>
            <w:tcW w:w="1411"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5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4</w:t>
            </w:r>
          </w:p>
        </w:tc>
        <w:tc>
          <w:tcPr>
            <w:tcW w:w="376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Alat Pertukangan</w:t>
            </w:r>
          </w:p>
        </w:tc>
        <w:tc>
          <w:tcPr>
            <w:tcW w:w="19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17 Kelompok</w:t>
            </w:r>
          </w:p>
        </w:tc>
        <w:tc>
          <w:tcPr>
            <w:tcW w:w="1411"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119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5</w:t>
            </w:r>
          </w:p>
        </w:tc>
        <w:tc>
          <w:tcPr>
            <w:tcW w:w="376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Alat Masak Memasak</w:t>
            </w:r>
          </w:p>
        </w:tc>
        <w:tc>
          <w:tcPr>
            <w:tcW w:w="19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25 Kelompok</w:t>
            </w:r>
          </w:p>
        </w:tc>
        <w:tc>
          <w:tcPr>
            <w:tcW w:w="1411"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550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6</w:t>
            </w:r>
          </w:p>
        </w:tc>
        <w:tc>
          <w:tcPr>
            <w:tcW w:w="376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Pengupas Sabut Kelapa</w:t>
            </w:r>
          </w:p>
        </w:tc>
        <w:tc>
          <w:tcPr>
            <w:tcW w:w="19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5 Kelompok</w:t>
            </w:r>
          </w:p>
        </w:tc>
        <w:tc>
          <w:tcPr>
            <w:tcW w:w="1411"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5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7</w:t>
            </w:r>
          </w:p>
        </w:tc>
        <w:tc>
          <w:tcPr>
            <w:tcW w:w="376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Mesin  Parut Kelapa Dan Penepung Beras</w:t>
            </w:r>
          </w:p>
        </w:tc>
        <w:tc>
          <w:tcPr>
            <w:tcW w:w="19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11 Kelompok</w:t>
            </w:r>
          </w:p>
        </w:tc>
        <w:tc>
          <w:tcPr>
            <w:tcW w:w="1411"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55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3"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8</w:t>
            </w:r>
          </w:p>
        </w:tc>
        <w:tc>
          <w:tcPr>
            <w:tcW w:w="3764" w:type="dxa"/>
          </w:tcPr>
          <w:p>
            <w:pPr>
              <w:spacing w:after="0" w:line="240" w:lineRule="auto"/>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Pengadaan Mesin Pencacah Sampah Dan Mesin Press Sampah</w:t>
            </w:r>
          </w:p>
        </w:tc>
        <w:tc>
          <w:tcPr>
            <w:tcW w:w="1976"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1 Kelompok</w:t>
            </w:r>
          </w:p>
        </w:tc>
        <w:tc>
          <w:tcPr>
            <w:tcW w:w="1411" w:type="dxa"/>
          </w:tcPr>
          <w:p>
            <w:pPr>
              <w:spacing w:after="0" w:line="240" w:lineRule="auto"/>
              <w:jc w:val="center"/>
              <w:rPr>
                <w:rFonts w:hint="default" w:ascii="Cambria" w:hAnsi="Cambria" w:eastAsia="Times New Roman" w:cs="Cambria"/>
                <w:sz w:val="24"/>
                <w:szCs w:val="24"/>
                <w:lang w:val="id-ID" w:eastAsia="id-ID"/>
              </w:rPr>
            </w:pPr>
            <w:r>
              <w:rPr>
                <w:rFonts w:hint="default" w:ascii="Cambria" w:hAnsi="Cambria" w:eastAsia="Times New Roman" w:cs="Cambria"/>
                <w:sz w:val="24"/>
                <w:szCs w:val="24"/>
                <w:lang w:val="id-ID" w:eastAsia="id-ID"/>
              </w:rPr>
              <w:t>2 Unit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267" w:type="dxa"/>
            <w:gridSpan w:val="2"/>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Jumlah</w:t>
            </w:r>
          </w:p>
        </w:tc>
        <w:tc>
          <w:tcPr>
            <w:tcW w:w="1976" w:type="dxa"/>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91 Kelompok</w:t>
            </w:r>
          </w:p>
        </w:tc>
        <w:tc>
          <w:tcPr>
            <w:tcW w:w="1411" w:type="dxa"/>
          </w:tcPr>
          <w:p>
            <w:pPr>
              <w:spacing w:after="0" w:line="240" w:lineRule="auto"/>
              <w:jc w:val="center"/>
              <w:rPr>
                <w:rFonts w:hint="default" w:ascii="Cambria" w:hAnsi="Cambria" w:eastAsia="Times New Roman" w:cs="Cambria"/>
                <w:b/>
                <w:sz w:val="24"/>
                <w:szCs w:val="24"/>
                <w:lang w:val="id-ID" w:eastAsia="id-ID"/>
              </w:rPr>
            </w:pPr>
            <w:r>
              <w:rPr>
                <w:rFonts w:hint="default" w:ascii="Cambria" w:hAnsi="Cambria" w:eastAsia="Times New Roman" w:cs="Cambria"/>
                <w:b/>
                <w:sz w:val="24"/>
                <w:szCs w:val="24"/>
                <w:lang w:val="id-ID" w:eastAsia="id-ID"/>
              </w:rPr>
              <w:t>901 Unit</w:t>
            </w:r>
          </w:p>
        </w:tc>
      </w:tr>
    </w:tbl>
    <w:p>
      <w:pPr>
        <w:spacing w:after="0" w:line="360" w:lineRule="auto"/>
        <w:jc w:val="both"/>
        <w:rPr>
          <w:rFonts w:hint="default" w:ascii="Cambria" w:hAnsi="Cambria" w:cs="Cambria"/>
          <w:b/>
          <w:sz w:val="24"/>
          <w:szCs w:val="24"/>
        </w:rPr>
      </w:pPr>
    </w:p>
    <w:p>
      <w:pPr>
        <w:pStyle w:val="13"/>
        <w:numPr>
          <w:ilvl w:val="0"/>
          <w:numId w:val="43"/>
        </w:numPr>
        <w:spacing w:after="0" w:line="360" w:lineRule="auto"/>
        <w:ind w:left="851" w:hanging="425"/>
        <w:jc w:val="both"/>
        <w:rPr>
          <w:rFonts w:hint="default" w:ascii="Cambria" w:hAnsi="Cambria" w:cs="Cambria"/>
          <w:b/>
          <w:sz w:val="24"/>
          <w:szCs w:val="24"/>
        </w:rPr>
      </w:pPr>
      <w:r>
        <w:rPr>
          <w:rFonts w:hint="default" w:ascii="Cambria" w:hAnsi="Cambria" w:cs="Cambria"/>
          <w:b/>
          <w:sz w:val="24"/>
          <w:szCs w:val="24"/>
        </w:rPr>
        <w:t>Analisis Atas Efisiensi Penggunaan Sumber Daya</w:t>
      </w:r>
    </w:p>
    <w:p>
      <w:pPr>
        <w:pStyle w:val="13"/>
        <w:spacing w:after="0" w:line="360" w:lineRule="auto"/>
        <w:ind w:left="851"/>
        <w:jc w:val="both"/>
        <w:rPr>
          <w:rFonts w:hint="default" w:ascii="Cambria" w:hAnsi="Cambria" w:cs="Cambria"/>
          <w:sz w:val="24"/>
          <w:szCs w:val="24"/>
        </w:rPr>
      </w:pPr>
      <w:r>
        <w:rPr>
          <w:rFonts w:hint="default" w:ascii="Cambria" w:hAnsi="Cambria" w:cs="Cambria"/>
          <w:sz w:val="24"/>
          <w:szCs w:val="24"/>
        </w:rPr>
        <w:t>Alokasi dan realisasi anggaran, rasio ekonomi, capaian kinerja keluaran dan rasio efesiensi dari masing-masing Urusan untuk mencapai sasaran yang ingin dicapai pada tabel dibawah ini:</w:t>
      </w:r>
    </w:p>
    <w:tbl>
      <w:tblPr>
        <w:tblStyle w:val="3"/>
        <w:tblW w:w="8337" w:type="dxa"/>
        <w:tblInd w:w="250" w:type="dxa"/>
        <w:tblLayout w:type="fixed"/>
        <w:tblCellMar>
          <w:top w:w="0" w:type="dxa"/>
          <w:left w:w="108" w:type="dxa"/>
          <w:bottom w:w="0" w:type="dxa"/>
          <w:right w:w="108" w:type="dxa"/>
        </w:tblCellMar>
      </w:tblPr>
      <w:tblGrid>
        <w:gridCol w:w="542"/>
        <w:gridCol w:w="370"/>
        <w:gridCol w:w="2043"/>
        <w:gridCol w:w="1692"/>
        <w:gridCol w:w="1365"/>
        <w:gridCol w:w="1200"/>
        <w:gridCol w:w="1125"/>
      </w:tblGrid>
      <w:tr>
        <w:tblPrEx>
          <w:tblCellMar>
            <w:top w:w="0" w:type="dxa"/>
            <w:left w:w="108" w:type="dxa"/>
            <w:bottom w:w="0" w:type="dxa"/>
            <w:right w:w="108" w:type="dxa"/>
          </w:tblCellMar>
        </w:tblPrEx>
        <w:trPr>
          <w:trHeight w:val="615" w:hRule="atLeast"/>
        </w:trPr>
        <w:tc>
          <w:tcPr>
            <w:tcW w:w="542" w:type="dxa"/>
            <w:tcBorders>
              <w:top w:val="single" w:color="auto" w:sz="8" w:space="0"/>
              <w:left w:val="single" w:color="auto" w:sz="8" w:space="0"/>
              <w:bottom w:val="nil"/>
              <w:right w:val="single" w:color="auto" w:sz="8" w:space="0"/>
            </w:tcBorders>
            <w:shd w:val="clear" w:color="auto" w:fill="auto"/>
            <w:noWrap/>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NO</w:t>
            </w:r>
          </w:p>
        </w:tc>
        <w:tc>
          <w:tcPr>
            <w:tcW w:w="2413" w:type="dxa"/>
            <w:gridSpan w:val="2"/>
            <w:tcBorders>
              <w:top w:val="single" w:color="auto" w:sz="8" w:space="0"/>
              <w:left w:val="nil"/>
              <w:bottom w:val="nil"/>
              <w:right w:val="single" w:color="000000" w:sz="8" w:space="0"/>
            </w:tcBorders>
            <w:shd w:val="clear" w:color="auto" w:fill="auto"/>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xml:space="preserve">Indikator Kinerja Utama </w:t>
            </w:r>
          </w:p>
        </w:tc>
        <w:tc>
          <w:tcPr>
            <w:tcW w:w="1692" w:type="dxa"/>
            <w:tcBorders>
              <w:top w:val="single" w:color="auto" w:sz="8" w:space="0"/>
              <w:left w:val="nil"/>
              <w:bottom w:val="single" w:color="auto" w:sz="8" w:space="0"/>
              <w:right w:val="nil"/>
            </w:tcBorders>
            <w:shd w:val="clear" w:color="auto" w:fill="auto"/>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Anggaran</w:t>
            </w:r>
          </w:p>
        </w:tc>
        <w:tc>
          <w:tcPr>
            <w:tcW w:w="1365" w:type="dxa"/>
            <w:tcBorders>
              <w:top w:val="single" w:color="auto" w:sz="8" w:space="0"/>
              <w:left w:val="single" w:color="auto" w:sz="8" w:space="0"/>
              <w:bottom w:val="nil"/>
              <w:right w:val="single" w:color="auto" w:sz="8" w:space="0"/>
            </w:tcBorders>
            <w:shd w:val="clear" w:color="auto" w:fill="auto"/>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Realisasi</w:t>
            </w:r>
          </w:p>
        </w:tc>
        <w:tc>
          <w:tcPr>
            <w:tcW w:w="1200" w:type="dxa"/>
            <w:tcBorders>
              <w:top w:val="single" w:color="auto" w:sz="8" w:space="0"/>
              <w:left w:val="nil"/>
              <w:bottom w:val="single" w:color="auto" w:sz="8" w:space="0"/>
              <w:right w:val="single" w:color="auto" w:sz="8" w:space="0"/>
            </w:tcBorders>
            <w:shd w:val="clear" w:color="auto" w:fill="auto"/>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Rasio Ekonomi %</w:t>
            </w:r>
          </w:p>
        </w:tc>
        <w:tc>
          <w:tcPr>
            <w:tcW w:w="1125" w:type="dxa"/>
            <w:tcBorders>
              <w:top w:val="single" w:color="auto" w:sz="8" w:space="0"/>
              <w:left w:val="nil"/>
              <w:bottom w:val="nil"/>
              <w:right w:val="single" w:color="auto" w:sz="8" w:space="0"/>
            </w:tcBorders>
            <w:shd w:val="clear" w:color="auto" w:fill="auto"/>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xml:space="preserve"> Capaian Kinerja % </w:t>
            </w:r>
          </w:p>
        </w:tc>
      </w:tr>
      <w:tr>
        <w:tblPrEx>
          <w:tblCellMar>
            <w:top w:w="0" w:type="dxa"/>
            <w:left w:w="108" w:type="dxa"/>
            <w:bottom w:w="0" w:type="dxa"/>
            <w:right w:w="108" w:type="dxa"/>
          </w:tblCellMar>
        </w:tblPrEx>
        <w:trPr>
          <w:trHeight w:val="675" w:hRule="atLeast"/>
        </w:trPr>
        <w:tc>
          <w:tcPr>
            <w:tcW w:w="542" w:type="dxa"/>
            <w:tcBorders>
              <w:top w:val="single" w:color="auto" w:sz="8" w:space="0"/>
              <w:left w:val="single" w:color="auto" w:sz="8" w:space="0"/>
              <w:bottom w:val="nil"/>
              <w:right w:val="single" w:color="auto" w:sz="8" w:space="0"/>
            </w:tcBorders>
            <w:shd w:val="clear" w:color="auto" w:fill="auto"/>
            <w:noWrap/>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I.</w:t>
            </w:r>
          </w:p>
        </w:tc>
        <w:tc>
          <w:tcPr>
            <w:tcW w:w="2413" w:type="dxa"/>
            <w:gridSpan w:val="2"/>
            <w:tcBorders>
              <w:top w:val="single" w:color="auto" w:sz="8" w:space="0"/>
              <w:left w:val="nil"/>
              <w:bottom w:val="single" w:color="auto" w:sz="8" w:space="0"/>
              <w:right w:val="single" w:color="000000"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Meningkatnya Kinerja Pembangunan Sektor Perindustrian </w:t>
            </w:r>
          </w:p>
        </w:tc>
        <w:tc>
          <w:tcPr>
            <w:tcW w:w="169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w:t>
            </w:r>
          </w:p>
        </w:tc>
        <w:tc>
          <w:tcPr>
            <w:tcW w:w="1365" w:type="dxa"/>
            <w:tcBorders>
              <w:top w:val="single" w:color="auto" w:sz="8" w:space="0"/>
              <w:left w:val="nil"/>
              <w:bottom w:val="single" w:color="auto" w:sz="8" w:space="0"/>
              <w:right w:val="single" w:color="auto" w:sz="8" w:space="0"/>
            </w:tcBorders>
            <w:shd w:val="clear" w:color="auto" w:fill="auto"/>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w:t>
            </w:r>
          </w:p>
        </w:tc>
        <w:tc>
          <w:tcPr>
            <w:tcW w:w="1125" w:type="dxa"/>
            <w:tcBorders>
              <w:top w:val="single" w:color="auto" w:sz="8" w:space="0"/>
              <w:left w:val="nil"/>
              <w:bottom w:val="single" w:color="auto" w:sz="8" w:space="0"/>
              <w:right w:val="single" w:color="auto" w:sz="8" w:space="0"/>
            </w:tcBorders>
            <w:shd w:val="clear" w:color="auto" w:fill="auto"/>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w:t>
            </w:r>
          </w:p>
        </w:tc>
      </w:tr>
      <w:tr>
        <w:tblPrEx>
          <w:tblCellMar>
            <w:top w:w="0" w:type="dxa"/>
            <w:left w:w="108" w:type="dxa"/>
            <w:bottom w:w="0" w:type="dxa"/>
            <w:right w:w="108" w:type="dxa"/>
          </w:tblCellMar>
        </w:tblPrEx>
        <w:trPr>
          <w:trHeight w:val="90" w:hRule="atLeast"/>
        </w:trPr>
        <w:tc>
          <w:tcPr>
            <w:tcW w:w="542"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370" w:type="dxa"/>
            <w:tcBorders>
              <w:top w:val="nil"/>
              <w:left w:val="nil"/>
              <w:bottom w:val="single" w:color="auto" w:sz="8" w:space="0"/>
              <w:right w:val="nil"/>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a.</w:t>
            </w:r>
          </w:p>
        </w:tc>
        <w:tc>
          <w:tcPr>
            <w:tcW w:w="2043"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Pertumbuhan Sektor Industri</w:t>
            </w:r>
          </w:p>
        </w:tc>
        <w:tc>
          <w:tcPr>
            <w:tcW w:w="169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xml:space="preserve"> </w:t>
            </w:r>
            <w:r>
              <w:rPr>
                <w:rFonts w:hint="default" w:ascii="Cambria" w:hAnsi="Cambria" w:cs="Cambria"/>
                <w:color w:val="000000"/>
                <w:sz w:val="20"/>
                <w:szCs w:val="20"/>
                <w:lang w:val="en-US"/>
              </w:rPr>
              <w:t>776.331.000</w:t>
            </w:r>
            <w:r>
              <w:rPr>
                <w:rFonts w:hint="default" w:ascii="Cambria" w:hAnsi="Cambria" w:cs="Cambria"/>
                <w:color w:val="000000"/>
                <w:sz w:val="20"/>
                <w:szCs w:val="20"/>
              </w:rPr>
              <w:t xml:space="preserve"> </w:t>
            </w:r>
          </w:p>
        </w:tc>
        <w:tc>
          <w:tcPr>
            <w:tcW w:w="136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lang w:val="en-US"/>
              </w:rPr>
              <w:t>744.002.200</w:t>
            </w:r>
            <w:r>
              <w:rPr>
                <w:rFonts w:hint="default" w:ascii="Cambria" w:hAnsi="Cambria" w:cs="Cambria"/>
                <w:color w:val="000000"/>
                <w:sz w:val="20"/>
                <w:szCs w:val="20"/>
              </w:rPr>
              <w:t xml:space="preserve"> </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95,83</w:t>
            </w:r>
          </w:p>
        </w:tc>
        <w:tc>
          <w:tcPr>
            <w:tcW w:w="112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96</w:t>
            </w:r>
          </w:p>
        </w:tc>
      </w:tr>
      <w:tr>
        <w:tblPrEx>
          <w:tblCellMar>
            <w:top w:w="0" w:type="dxa"/>
            <w:left w:w="108" w:type="dxa"/>
            <w:bottom w:w="0" w:type="dxa"/>
            <w:right w:w="108" w:type="dxa"/>
          </w:tblCellMar>
        </w:tblPrEx>
        <w:trPr>
          <w:trHeight w:val="660" w:hRule="atLeast"/>
        </w:trPr>
        <w:tc>
          <w:tcPr>
            <w:tcW w:w="54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370" w:type="dxa"/>
            <w:tcBorders>
              <w:top w:val="nil"/>
              <w:left w:val="nil"/>
              <w:bottom w:val="single" w:color="auto" w:sz="8" w:space="0"/>
              <w:right w:val="nil"/>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b.</w:t>
            </w:r>
          </w:p>
        </w:tc>
        <w:tc>
          <w:tcPr>
            <w:tcW w:w="2043"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peningkatan unit usaha industri unggulan daerah</w:t>
            </w:r>
          </w:p>
        </w:tc>
        <w:tc>
          <w:tcPr>
            <w:tcW w:w="169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rPr>
              <w:t xml:space="preserve"> </w:t>
            </w:r>
            <w:r>
              <w:rPr>
                <w:rFonts w:hint="default" w:ascii="Cambria" w:hAnsi="Cambria" w:cs="Cambria"/>
                <w:color w:val="000000"/>
                <w:sz w:val="20"/>
                <w:szCs w:val="20"/>
                <w:lang w:val="en-US"/>
              </w:rPr>
              <w:t>776.331.000</w:t>
            </w:r>
            <w:r>
              <w:rPr>
                <w:rFonts w:hint="default" w:ascii="Cambria" w:hAnsi="Cambria" w:cs="Cambria"/>
                <w:color w:val="000000"/>
                <w:sz w:val="20"/>
                <w:szCs w:val="20"/>
              </w:rPr>
              <w:t xml:space="preserve"> </w:t>
            </w:r>
          </w:p>
        </w:tc>
        <w:tc>
          <w:tcPr>
            <w:tcW w:w="136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lang w:val="en-US"/>
              </w:rPr>
              <w:t>744.002.200</w:t>
            </w:r>
            <w:r>
              <w:rPr>
                <w:rFonts w:hint="default" w:ascii="Cambria" w:hAnsi="Cambria" w:cs="Cambria"/>
                <w:color w:val="000000"/>
                <w:sz w:val="20"/>
                <w:szCs w:val="20"/>
              </w:rPr>
              <w:t xml:space="preserve"> </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lang w:val="en-US"/>
              </w:rPr>
              <w:t>95,83</w:t>
            </w:r>
          </w:p>
        </w:tc>
        <w:tc>
          <w:tcPr>
            <w:tcW w:w="112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lang w:val="en-US"/>
              </w:rPr>
              <w:t>96</w:t>
            </w:r>
          </w:p>
        </w:tc>
      </w:tr>
      <w:tr>
        <w:tblPrEx>
          <w:tblCellMar>
            <w:top w:w="0" w:type="dxa"/>
            <w:left w:w="108" w:type="dxa"/>
            <w:bottom w:w="0" w:type="dxa"/>
            <w:right w:w="108" w:type="dxa"/>
          </w:tblCellMar>
        </w:tblPrEx>
        <w:trPr>
          <w:trHeight w:val="1020" w:hRule="atLeast"/>
        </w:trPr>
        <w:tc>
          <w:tcPr>
            <w:tcW w:w="542" w:type="dxa"/>
            <w:tcBorders>
              <w:top w:val="nil"/>
              <w:left w:val="single" w:color="auto" w:sz="8" w:space="0"/>
              <w:bottom w:val="nil"/>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II.</w:t>
            </w:r>
          </w:p>
        </w:tc>
        <w:tc>
          <w:tcPr>
            <w:tcW w:w="2413" w:type="dxa"/>
            <w:gridSpan w:val="2"/>
            <w:tcBorders>
              <w:top w:val="single" w:color="auto" w:sz="8" w:space="0"/>
              <w:left w:val="nil"/>
              <w:bottom w:val="single" w:color="auto" w:sz="8" w:space="0"/>
              <w:right w:val="single" w:color="000000"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Meningkatnya Skala Usaha Sektor Perdagangan dan Penguatan Kinerja Pengujian dan Sertifikasi Mutu Barang, Kemetrologian serta Pengawasan Barang dan Jasa Beredar</w:t>
            </w:r>
          </w:p>
        </w:tc>
        <w:tc>
          <w:tcPr>
            <w:tcW w:w="169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136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112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r>
      <w:tr>
        <w:tblPrEx>
          <w:tblCellMar>
            <w:top w:w="0" w:type="dxa"/>
            <w:left w:w="108" w:type="dxa"/>
            <w:bottom w:w="0" w:type="dxa"/>
            <w:right w:w="108" w:type="dxa"/>
          </w:tblCellMar>
        </w:tblPrEx>
        <w:trPr>
          <w:trHeight w:val="510" w:hRule="atLeast"/>
        </w:trPr>
        <w:tc>
          <w:tcPr>
            <w:tcW w:w="542"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370" w:type="dxa"/>
            <w:tcBorders>
              <w:top w:val="nil"/>
              <w:left w:val="nil"/>
              <w:bottom w:val="single" w:color="auto" w:sz="8" w:space="0"/>
              <w:right w:val="nil"/>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a.</w:t>
            </w:r>
          </w:p>
        </w:tc>
        <w:tc>
          <w:tcPr>
            <w:tcW w:w="2043"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Pasar rakyat dalam kondisi baik </w:t>
            </w:r>
          </w:p>
        </w:tc>
        <w:tc>
          <w:tcPr>
            <w:tcW w:w="1692" w:type="dxa"/>
            <w:tcBorders>
              <w:top w:val="nil"/>
              <w:left w:val="nil"/>
              <w:bottom w:val="single" w:color="auto" w:sz="8" w:space="0"/>
              <w:righ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after="0"/>
              <w:jc w:val="center"/>
              <w:textAlignment w:val="auto"/>
              <w:rPr>
                <w:rFonts w:hint="default" w:ascii="Cambria" w:hAnsi="Cambria" w:cs="Cambria"/>
                <w:sz w:val="20"/>
                <w:szCs w:val="20"/>
              </w:rPr>
            </w:pPr>
            <w:r>
              <w:rPr>
                <w:rFonts w:hint="default" w:ascii="Cambria" w:hAnsi="Cambria" w:cs="Cambria"/>
                <w:color w:val="000000"/>
                <w:sz w:val="20"/>
                <w:szCs w:val="20"/>
              </w:rPr>
              <w:t>1</w:t>
            </w:r>
            <w:r>
              <w:rPr>
                <w:rFonts w:hint="default" w:ascii="Cambria" w:hAnsi="Cambria" w:cs="Cambria"/>
                <w:color w:val="000000"/>
                <w:sz w:val="20"/>
                <w:szCs w:val="20"/>
                <w:lang w:val="en-US"/>
              </w:rPr>
              <w:t>23.327.000</w:t>
            </w:r>
          </w:p>
        </w:tc>
        <w:tc>
          <w:tcPr>
            <w:tcW w:w="136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lang w:val="en-US"/>
              </w:rPr>
              <w:t>121.852.250</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rPr>
              <w:t>9</w:t>
            </w:r>
            <w:r>
              <w:rPr>
                <w:rFonts w:hint="default" w:ascii="Cambria" w:hAnsi="Cambria" w:cs="Cambria"/>
                <w:color w:val="000000"/>
                <w:sz w:val="20"/>
                <w:szCs w:val="20"/>
                <w:lang w:val="en-US"/>
              </w:rPr>
              <w:t>8,80</w:t>
            </w:r>
          </w:p>
        </w:tc>
        <w:tc>
          <w:tcPr>
            <w:tcW w:w="112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99</w:t>
            </w:r>
          </w:p>
        </w:tc>
      </w:tr>
      <w:tr>
        <w:tblPrEx>
          <w:tblCellMar>
            <w:top w:w="0" w:type="dxa"/>
            <w:left w:w="108" w:type="dxa"/>
            <w:bottom w:w="0" w:type="dxa"/>
            <w:right w:w="108" w:type="dxa"/>
          </w:tblCellMar>
        </w:tblPrEx>
        <w:trPr>
          <w:trHeight w:val="660" w:hRule="atLeast"/>
        </w:trPr>
        <w:tc>
          <w:tcPr>
            <w:tcW w:w="54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370" w:type="dxa"/>
            <w:tcBorders>
              <w:top w:val="nil"/>
              <w:left w:val="nil"/>
              <w:bottom w:val="single" w:color="auto" w:sz="8" w:space="0"/>
              <w:right w:val="nil"/>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b.</w:t>
            </w:r>
          </w:p>
        </w:tc>
        <w:tc>
          <w:tcPr>
            <w:tcW w:w="2043"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rekomnedasi izin usaha yang diterbitkan</w:t>
            </w:r>
          </w:p>
        </w:tc>
        <w:tc>
          <w:tcPr>
            <w:tcW w:w="169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lang w:val="en-US"/>
              </w:rPr>
              <w:t>20.405.500</w:t>
            </w:r>
          </w:p>
        </w:tc>
        <w:tc>
          <w:tcPr>
            <w:tcW w:w="136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xml:space="preserve"> </w:t>
            </w:r>
            <w:r>
              <w:rPr>
                <w:rFonts w:hint="default" w:ascii="Cambria" w:hAnsi="Cambria" w:cs="Cambria"/>
                <w:color w:val="000000"/>
                <w:sz w:val="20"/>
                <w:szCs w:val="20"/>
                <w:lang w:val="en-US"/>
              </w:rPr>
              <w:t>17.137.500</w:t>
            </w:r>
            <w:r>
              <w:rPr>
                <w:rFonts w:hint="default" w:ascii="Cambria" w:hAnsi="Cambria" w:cs="Cambria"/>
                <w:color w:val="000000"/>
                <w:sz w:val="20"/>
                <w:szCs w:val="20"/>
              </w:rPr>
              <w:t xml:space="preserve"> </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83,98</w:t>
            </w:r>
          </w:p>
        </w:tc>
        <w:tc>
          <w:tcPr>
            <w:tcW w:w="112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84</w:t>
            </w:r>
          </w:p>
        </w:tc>
      </w:tr>
      <w:tr>
        <w:tblPrEx>
          <w:tblCellMar>
            <w:top w:w="0" w:type="dxa"/>
            <w:left w:w="108" w:type="dxa"/>
            <w:bottom w:w="0" w:type="dxa"/>
            <w:right w:w="108" w:type="dxa"/>
          </w:tblCellMar>
        </w:tblPrEx>
        <w:trPr>
          <w:trHeight w:val="465" w:hRule="atLeast"/>
        </w:trPr>
        <w:tc>
          <w:tcPr>
            <w:tcW w:w="54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370" w:type="dxa"/>
            <w:tcBorders>
              <w:top w:val="nil"/>
              <w:left w:val="nil"/>
              <w:bottom w:val="single" w:color="auto" w:sz="8" w:space="0"/>
              <w:right w:val="nil"/>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xml:space="preserve">c. </w:t>
            </w:r>
          </w:p>
        </w:tc>
        <w:tc>
          <w:tcPr>
            <w:tcW w:w="2043"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Persentasi UTTP yang bertanda tera SAH</w:t>
            </w:r>
          </w:p>
        </w:tc>
        <w:tc>
          <w:tcPr>
            <w:tcW w:w="169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lang w:val="en-US"/>
              </w:rPr>
              <w:t>123.581.500</w:t>
            </w:r>
          </w:p>
        </w:tc>
        <w:tc>
          <w:tcPr>
            <w:tcW w:w="136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lang w:val="en-US"/>
              </w:rPr>
              <w:t>113.565.400</w:t>
            </w:r>
            <w:r>
              <w:rPr>
                <w:rFonts w:hint="default" w:ascii="Cambria" w:hAnsi="Cambria" w:cs="Cambria"/>
                <w:color w:val="000000"/>
                <w:sz w:val="20"/>
                <w:szCs w:val="20"/>
              </w:rPr>
              <w:t xml:space="preserve"> </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91,89</w:t>
            </w:r>
          </w:p>
        </w:tc>
        <w:tc>
          <w:tcPr>
            <w:tcW w:w="112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92</w:t>
            </w:r>
          </w:p>
        </w:tc>
      </w:tr>
      <w:tr>
        <w:tblPrEx>
          <w:tblCellMar>
            <w:top w:w="0" w:type="dxa"/>
            <w:left w:w="108" w:type="dxa"/>
            <w:bottom w:w="0" w:type="dxa"/>
            <w:right w:w="108" w:type="dxa"/>
          </w:tblCellMar>
        </w:tblPrEx>
        <w:trPr>
          <w:trHeight w:val="780" w:hRule="atLeast"/>
        </w:trPr>
        <w:tc>
          <w:tcPr>
            <w:tcW w:w="542" w:type="dxa"/>
            <w:tcBorders>
              <w:top w:val="nil"/>
              <w:left w:val="single" w:color="auto" w:sz="8" w:space="0"/>
              <w:bottom w:val="nil"/>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III.</w:t>
            </w:r>
          </w:p>
        </w:tc>
        <w:tc>
          <w:tcPr>
            <w:tcW w:w="2413" w:type="dxa"/>
            <w:gridSpan w:val="2"/>
            <w:tcBorders>
              <w:top w:val="single" w:color="auto" w:sz="8" w:space="0"/>
              <w:left w:val="nil"/>
              <w:bottom w:val="single" w:color="auto" w:sz="8" w:space="0"/>
              <w:right w:val="single" w:color="000000"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Meningkatnya Kualitas Kelembagaan, Daya Saing, Kemandirian Koperasi serta Kualitas UMKM </w:t>
            </w:r>
          </w:p>
        </w:tc>
        <w:tc>
          <w:tcPr>
            <w:tcW w:w="169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136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112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r>
      <w:tr>
        <w:tblPrEx>
          <w:tblCellMar>
            <w:top w:w="0" w:type="dxa"/>
            <w:left w:w="108" w:type="dxa"/>
            <w:bottom w:w="0" w:type="dxa"/>
            <w:right w:w="108" w:type="dxa"/>
          </w:tblCellMar>
        </w:tblPrEx>
        <w:trPr>
          <w:trHeight w:val="435" w:hRule="atLeast"/>
        </w:trPr>
        <w:tc>
          <w:tcPr>
            <w:tcW w:w="542"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370" w:type="dxa"/>
            <w:tcBorders>
              <w:top w:val="nil"/>
              <w:left w:val="nil"/>
              <w:bottom w:val="single" w:color="auto" w:sz="8" w:space="0"/>
              <w:right w:val="nil"/>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a.</w:t>
            </w:r>
          </w:p>
        </w:tc>
        <w:tc>
          <w:tcPr>
            <w:tcW w:w="2043"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Koperasi Aktif</w:t>
            </w:r>
          </w:p>
        </w:tc>
        <w:tc>
          <w:tcPr>
            <w:tcW w:w="169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163.640.000</w:t>
            </w:r>
          </w:p>
        </w:tc>
        <w:tc>
          <w:tcPr>
            <w:tcW w:w="136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163.640.000</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100</w:t>
            </w:r>
          </w:p>
        </w:tc>
        <w:tc>
          <w:tcPr>
            <w:tcW w:w="112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435" w:hRule="atLeast"/>
        </w:trPr>
        <w:tc>
          <w:tcPr>
            <w:tcW w:w="54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370" w:type="dxa"/>
            <w:tcBorders>
              <w:top w:val="nil"/>
              <w:left w:val="nil"/>
              <w:bottom w:val="single" w:color="auto" w:sz="8" w:space="0"/>
              <w:right w:val="nil"/>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xml:space="preserve">b. </w:t>
            </w:r>
          </w:p>
        </w:tc>
        <w:tc>
          <w:tcPr>
            <w:tcW w:w="2043"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Koperasi Sehat</w:t>
            </w:r>
          </w:p>
        </w:tc>
        <w:tc>
          <w:tcPr>
            <w:tcW w:w="169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lang w:val="en-US"/>
              </w:rPr>
              <w:t>48.578.000</w:t>
            </w:r>
          </w:p>
        </w:tc>
        <w:tc>
          <w:tcPr>
            <w:tcW w:w="136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lang w:val="en-US"/>
              </w:rPr>
              <w:t>48.413.000</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99,66</w:t>
            </w:r>
          </w:p>
        </w:tc>
        <w:tc>
          <w:tcPr>
            <w:tcW w:w="112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100</w:t>
            </w:r>
          </w:p>
        </w:tc>
      </w:tr>
      <w:tr>
        <w:tblPrEx>
          <w:tblCellMar>
            <w:top w:w="0" w:type="dxa"/>
            <w:left w:w="108" w:type="dxa"/>
            <w:bottom w:w="0" w:type="dxa"/>
            <w:right w:w="108" w:type="dxa"/>
          </w:tblCellMar>
        </w:tblPrEx>
        <w:trPr>
          <w:trHeight w:val="555" w:hRule="atLeast"/>
        </w:trPr>
        <w:tc>
          <w:tcPr>
            <w:tcW w:w="54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370" w:type="dxa"/>
            <w:tcBorders>
              <w:top w:val="nil"/>
              <w:left w:val="nil"/>
              <w:bottom w:val="single" w:color="auto" w:sz="8" w:space="0"/>
              <w:right w:val="nil"/>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c.</w:t>
            </w:r>
          </w:p>
        </w:tc>
        <w:tc>
          <w:tcPr>
            <w:tcW w:w="2043"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Persentase Peningkatan UMKM yang Produktif </w:t>
            </w:r>
          </w:p>
        </w:tc>
        <w:tc>
          <w:tcPr>
            <w:tcW w:w="169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xml:space="preserve">      </w:t>
            </w:r>
            <w:r>
              <w:rPr>
                <w:rFonts w:hint="default" w:ascii="Cambria" w:hAnsi="Cambria" w:cs="Cambria"/>
                <w:color w:val="000000"/>
                <w:sz w:val="20"/>
                <w:szCs w:val="20"/>
                <w:lang w:val="en-US"/>
              </w:rPr>
              <w:t>4.170.915.000</w:t>
            </w:r>
            <w:r>
              <w:rPr>
                <w:rFonts w:hint="default" w:ascii="Cambria" w:hAnsi="Cambria" w:cs="Cambria"/>
                <w:color w:val="000000"/>
                <w:sz w:val="20"/>
                <w:szCs w:val="20"/>
              </w:rPr>
              <w:t xml:space="preserve"> </w:t>
            </w:r>
          </w:p>
        </w:tc>
        <w:tc>
          <w:tcPr>
            <w:tcW w:w="136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lang w:val="en-US"/>
              </w:rPr>
              <w:t>3.428.412.500</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90,70</w:t>
            </w:r>
          </w:p>
        </w:tc>
        <w:tc>
          <w:tcPr>
            <w:tcW w:w="112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690" w:hRule="atLeast"/>
        </w:trPr>
        <w:tc>
          <w:tcPr>
            <w:tcW w:w="542" w:type="dxa"/>
            <w:vMerge w:val="continue"/>
            <w:tcBorders>
              <w:top w:val="single" w:color="auto" w:sz="8" w:space="0"/>
              <w:left w:val="single" w:color="auto" w:sz="8" w:space="0"/>
              <w:bottom w:val="single" w:color="000000" w:sz="8" w:space="0"/>
              <w:right w:val="single" w:color="auto" w:sz="8" w:space="0"/>
            </w:tcBorders>
            <w:vAlign w:val="center"/>
          </w:tcPr>
          <w:p>
            <w:pPr>
              <w:spacing w:after="0"/>
              <w:rPr>
                <w:rFonts w:hint="default" w:ascii="Cambria" w:hAnsi="Cambria" w:cs="Cambria"/>
                <w:color w:val="000000"/>
                <w:sz w:val="20"/>
                <w:szCs w:val="20"/>
              </w:rPr>
            </w:pPr>
          </w:p>
        </w:tc>
        <w:tc>
          <w:tcPr>
            <w:tcW w:w="370" w:type="dxa"/>
            <w:tcBorders>
              <w:top w:val="nil"/>
              <w:left w:val="nil"/>
              <w:bottom w:val="single" w:color="auto" w:sz="8" w:space="0"/>
              <w:right w:val="nil"/>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d.</w:t>
            </w:r>
          </w:p>
        </w:tc>
        <w:tc>
          <w:tcPr>
            <w:tcW w:w="2043" w:type="dxa"/>
            <w:tcBorders>
              <w:top w:val="nil"/>
              <w:left w:val="nil"/>
              <w:bottom w:val="single" w:color="auto" w:sz="8" w:space="0"/>
              <w:right w:val="single" w:color="auto" w:sz="8"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Peningkatan  Sentra UKM Potensial yang Dikembangkan</w:t>
            </w:r>
          </w:p>
        </w:tc>
        <w:tc>
          <w:tcPr>
            <w:tcW w:w="1692"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xml:space="preserve">            </w:t>
            </w:r>
            <w:r>
              <w:rPr>
                <w:rFonts w:hint="default" w:ascii="Cambria" w:hAnsi="Cambria" w:cs="Cambria"/>
                <w:color w:val="000000"/>
                <w:sz w:val="20"/>
                <w:szCs w:val="20"/>
                <w:lang w:val="en-US"/>
              </w:rPr>
              <w:t>564.634,000</w:t>
            </w:r>
            <w:r>
              <w:rPr>
                <w:rFonts w:hint="default" w:ascii="Cambria" w:hAnsi="Cambria" w:cs="Cambria"/>
                <w:color w:val="000000"/>
                <w:sz w:val="20"/>
                <w:szCs w:val="20"/>
              </w:rPr>
              <w:t xml:space="preserve"> </w:t>
            </w:r>
          </w:p>
        </w:tc>
        <w:tc>
          <w:tcPr>
            <w:tcW w:w="136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xml:space="preserve">       </w:t>
            </w:r>
            <w:r>
              <w:rPr>
                <w:rFonts w:hint="default" w:ascii="Cambria" w:hAnsi="Cambria" w:cs="Cambria"/>
                <w:color w:val="000000"/>
                <w:sz w:val="20"/>
                <w:szCs w:val="20"/>
                <w:lang w:val="en-US"/>
              </w:rPr>
              <w:t>550.074.000</w:t>
            </w:r>
            <w:r>
              <w:rPr>
                <w:rFonts w:hint="default" w:ascii="Cambria" w:hAnsi="Cambria" w:cs="Cambria"/>
                <w:color w:val="000000"/>
                <w:sz w:val="20"/>
                <w:szCs w:val="20"/>
              </w:rPr>
              <w:t xml:space="preserve"> </w:t>
            </w:r>
          </w:p>
        </w:tc>
        <w:tc>
          <w:tcPr>
            <w:tcW w:w="1200"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99,98</w:t>
            </w:r>
          </w:p>
        </w:tc>
        <w:tc>
          <w:tcPr>
            <w:tcW w:w="1125" w:type="dxa"/>
            <w:tcBorders>
              <w:top w:val="nil"/>
              <w:left w:val="nil"/>
              <w:bottom w:val="single" w:color="auto" w:sz="8" w:space="0"/>
              <w:right w:val="single" w:color="auto" w:sz="8"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bl>
    <w:p>
      <w:pPr>
        <w:spacing w:after="0" w:line="360" w:lineRule="auto"/>
        <w:rPr>
          <w:rFonts w:hint="default" w:ascii="Cambria" w:hAnsi="Cambria" w:cs="Cambria"/>
          <w:sz w:val="24"/>
          <w:szCs w:val="24"/>
        </w:rPr>
      </w:pPr>
    </w:p>
    <w:p>
      <w:pPr>
        <w:pStyle w:val="13"/>
        <w:numPr>
          <w:ilvl w:val="5"/>
          <w:numId w:val="34"/>
        </w:numPr>
        <w:spacing w:after="0" w:line="360" w:lineRule="auto"/>
        <w:ind w:left="426" w:hanging="426"/>
        <w:rPr>
          <w:rFonts w:hint="default" w:ascii="Cambria" w:hAnsi="Cambria" w:cs="Cambria"/>
          <w:b/>
          <w:sz w:val="24"/>
          <w:szCs w:val="24"/>
        </w:rPr>
      </w:pPr>
      <w:r>
        <w:rPr>
          <w:rFonts w:hint="default" w:ascii="Cambria" w:hAnsi="Cambria" w:cs="Cambria"/>
          <w:b/>
          <w:sz w:val="24"/>
          <w:szCs w:val="24"/>
        </w:rPr>
        <w:t>REALISASI KEUANGAN</w:t>
      </w:r>
    </w:p>
    <w:p>
      <w:pPr>
        <w:pStyle w:val="13"/>
        <w:spacing w:line="360" w:lineRule="auto"/>
        <w:ind w:left="426" w:firstLine="992"/>
        <w:jc w:val="both"/>
        <w:rPr>
          <w:rFonts w:hint="default" w:ascii="Cambria" w:hAnsi="Cambria" w:cs="Cambria"/>
          <w:b/>
          <w:sz w:val="24"/>
          <w:szCs w:val="24"/>
        </w:rPr>
      </w:pPr>
      <w:r>
        <w:rPr>
          <w:rFonts w:hint="default" w:ascii="Cambria" w:hAnsi="Cambria" w:cs="Cambria"/>
          <w:sz w:val="24"/>
          <w:szCs w:val="24"/>
          <w:lang w:val="id-ID"/>
        </w:rPr>
        <w:t>Dana yang dianggarkan Dinas Perindustrian, Perdagangan</w:t>
      </w:r>
      <w:r>
        <w:rPr>
          <w:rFonts w:hint="default" w:ascii="Cambria" w:hAnsi="Cambria" w:cs="Cambria"/>
          <w:sz w:val="24"/>
          <w:szCs w:val="24"/>
        </w:rPr>
        <w:t xml:space="preserve">, Koperasi Usaha Kecil dan Menengah </w:t>
      </w:r>
      <w:r>
        <w:rPr>
          <w:rFonts w:hint="default" w:ascii="Cambria" w:hAnsi="Cambria" w:cs="Cambria"/>
          <w:sz w:val="24"/>
          <w:szCs w:val="24"/>
          <w:lang w:val="id-ID"/>
        </w:rPr>
        <w:t xml:space="preserve">Kabupaten </w:t>
      </w:r>
      <w:r>
        <w:rPr>
          <w:rFonts w:hint="default" w:ascii="Cambria" w:hAnsi="Cambria" w:cs="Cambria"/>
          <w:sz w:val="24"/>
          <w:szCs w:val="24"/>
        </w:rPr>
        <w:t>Kepulauan Selayar</w:t>
      </w:r>
      <w:r>
        <w:rPr>
          <w:rFonts w:hint="default" w:ascii="Cambria" w:hAnsi="Cambria" w:cs="Cambria"/>
          <w:sz w:val="24"/>
          <w:szCs w:val="24"/>
          <w:lang w:val="id-ID"/>
        </w:rPr>
        <w:t xml:space="preserve"> untuk penyelenggaraan kegiatan berasal dari APBD</w:t>
      </w:r>
      <w:r>
        <w:rPr>
          <w:rFonts w:hint="default" w:ascii="Cambria" w:hAnsi="Cambria" w:cs="Cambria"/>
          <w:sz w:val="24"/>
          <w:szCs w:val="24"/>
        </w:rPr>
        <w:t xml:space="preserve"> </w:t>
      </w:r>
      <w:r>
        <w:rPr>
          <w:rFonts w:hint="default" w:ascii="Cambria" w:hAnsi="Cambria" w:cs="Cambria"/>
          <w:sz w:val="24"/>
          <w:szCs w:val="24"/>
          <w:lang w:val="id-ID"/>
        </w:rPr>
        <w:t>tahun 20</w:t>
      </w:r>
      <w:r>
        <w:rPr>
          <w:rFonts w:hint="default" w:ascii="Cambria" w:hAnsi="Cambria" w:cs="Cambria"/>
          <w:sz w:val="24"/>
          <w:szCs w:val="24"/>
        </w:rPr>
        <w:t>2</w:t>
      </w:r>
      <w:r>
        <w:rPr>
          <w:rFonts w:hint="default" w:ascii="Cambria" w:hAnsi="Cambria" w:cs="Cambria"/>
          <w:sz w:val="24"/>
          <w:szCs w:val="24"/>
          <w:lang w:val="en-US"/>
        </w:rPr>
        <w:t>2</w:t>
      </w:r>
      <w:r>
        <w:rPr>
          <w:rFonts w:hint="default" w:ascii="Cambria" w:hAnsi="Cambria" w:cs="Cambria"/>
          <w:sz w:val="24"/>
          <w:szCs w:val="24"/>
          <w:lang w:val="id-ID"/>
        </w:rPr>
        <w:t xml:space="preserve">, dengan total anggaran </w:t>
      </w:r>
      <w:r>
        <w:rPr>
          <w:rFonts w:hint="default" w:ascii="Cambria" w:hAnsi="Cambria" w:cs="Cambria"/>
          <w:sz w:val="24"/>
          <w:szCs w:val="24"/>
        </w:rPr>
        <w:t xml:space="preserve">belanja sebesar </w:t>
      </w:r>
      <w:r>
        <w:rPr>
          <w:rFonts w:hint="default" w:ascii="Cambria" w:hAnsi="Cambria" w:cs="Cambria"/>
          <w:sz w:val="24"/>
          <w:szCs w:val="24"/>
          <w:lang w:val="id-ID"/>
        </w:rPr>
        <w:t>Rp</w:t>
      </w:r>
      <w:r>
        <w:rPr>
          <w:rFonts w:hint="default" w:ascii="Cambria" w:hAnsi="Cambria" w:cs="Cambria"/>
          <w:color w:val="FF0000"/>
          <w:sz w:val="24"/>
          <w:szCs w:val="24"/>
          <w:lang w:val="id-ID"/>
        </w:rPr>
        <w:t>.</w:t>
      </w:r>
      <w:r>
        <w:rPr>
          <w:rFonts w:hint="default" w:ascii="Cambria" w:hAnsi="Cambria" w:cs="Cambria"/>
          <w:color w:val="000000" w:themeColor="text1"/>
          <w:sz w:val="24"/>
          <w:szCs w:val="24"/>
          <w:lang w:val="id-ID"/>
          <w14:textFill>
            <w14:solidFill>
              <w14:schemeClr w14:val="tx1"/>
            </w14:solidFill>
          </w14:textFill>
        </w:rPr>
        <w:t xml:space="preserve"> </w:t>
      </w:r>
      <w:r>
        <w:rPr>
          <w:rFonts w:hint="default" w:ascii="Cambria" w:hAnsi="Cambria" w:cs="Cambria"/>
          <w:color w:val="000000" w:themeColor="text1"/>
          <w:sz w:val="24"/>
          <w:szCs w:val="24"/>
          <w14:textFill>
            <w14:solidFill>
              <w14:schemeClr w14:val="tx1"/>
            </w14:solidFill>
          </w14:textFill>
        </w:rPr>
        <w:t>20.048.534.875,-</w:t>
      </w:r>
      <w:r>
        <w:rPr>
          <w:rFonts w:hint="default" w:ascii="Cambria" w:hAnsi="Cambria" w:cs="Cambria"/>
          <w:color w:val="000000" w:themeColor="text1"/>
          <w:sz w:val="24"/>
          <w:szCs w:val="24"/>
          <w:lang w:val="id-ID"/>
          <w14:textFill>
            <w14:solidFill>
              <w14:schemeClr w14:val="tx1"/>
            </w14:solidFill>
          </w14:textFill>
        </w:rPr>
        <w:t xml:space="preserve"> Terealisasi</w:t>
      </w:r>
      <w:r>
        <w:rPr>
          <w:rFonts w:hint="default" w:ascii="Cambria" w:hAnsi="Cambria" w:cs="Cambria"/>
          <w:color w:val="000000" w:themeColor="text1"/>
          <w:sz w:val="24"/>
          <w:szCs w:val="24"/>
          <w14:textFill>
            <w14:solidFill>
              <w14:schemeClr w14:val="tx1"/>
            </w14:solidFill>
          </w14:textFill>
        </w:rPr>
        <w:t xml:space="preserve"> </w:t>
      </w:r>
      <w:r>
        <w:rPr>
          <w:rFonts w:hint="default" w:ascii="Cambria" w:hAnsi="Cambria" w:cs="Cambria"/>
          <w:color w:val="000000" w:themeColor="text1"/>
          <w:sz w:val="24"/>
          <w:szCs w:val="24"/>
          <w:lang w:val="id-ID"/>
          <w14:textFill>
            <w14:solidFill>
              <w14:schemeClr w14:val="tx1"/>
            </w14:solidFill>
          </w14:textFill>
        </w:rPr>
        <w:t>sebesa</w:t>
      </w:r>
      <w:r>
        <w:rPr>
          <w:rFonts w:hint="default" w:ascii="Cambria" w:hAnsi="Cambria" w:cs="Cambria"/>
          <w:color w:val="000000" w:themeColor="text1"/>
          <w:sz w:val="24"/>
          <w:szCs w:val="24"/>
          <w14:textFill>
            <w14:solidFill>
              <w14:schemeClr w14:val="tx1"/>
            </w14:solidFill>
          </w14:textFill>
        </w:rPr>
        <w:t xml:space="preserve">r </w:t>
      </w:r>
      <w:r>
        <w:rPr>
          <w:rFonts w:hint="default" w:ascii="Cambria" w:hAnsi="Cambria" w:cs="Cambria"/>
          <w:color w:val="000000" w:themeColor="text1"/>
          <w:sz w:val="24"/>
          <w:szCs w:val="24"/>
          <w:lang w:val="id-ID"/>
          <w14:textFill>
            <w14:solidFill>
              <w14:schemeClr w14:val="tx1"/>
            </w14:solidFill>
          </w14:textFill>
        </w:rPr>
        <w:t>R</w:t>
      </w:r>
      <w:r>
        <w:rPr>
          <w:rFonts w:hint="default" w:ascii="Cambria" w:hAnsi="Cambria" w:cs="Cambria"/>
          <w:color w:val="000000" w:themeColor="text1"/>
          <w:sz w:val="24"/>
          <w:szCs w:val="24"/>
          <w14:textFill>
            <w14:solidFill>
              <w14:schemeClr w14:val="tx1"/>
            </w14:solidFill>
          </w14:textFill>
        </w:rPr>
        <w:t>p. 1</w:t>
      </w:r>
      <w:r>
        <w:rPr>
          <w:rFonts w:hint="default" w:ascii="Cambria" w:hAnsi="Cambria" w:cs="Cambria"/>
          <w:color w:val="000000" w:themeColor="text1"/>
          <w:sz w:val="24"/>
          <w:szCs w:val="24"/>
          <w:lang w:val="en-US"/>
          <w14:textFill>
            <w14:solidFill>
              <w14:schemeClr w14:val="tx1"/>
            </w14:solidFill>
          </w14:textFill>
        </w:rPr>
        <w:t>8.631.135.620</w:t>
      </w:r>
      <w:r>
        <w:rPr>
          <w:rFonts w:hint="default" w:ascii="Cambria" w:hAnsi="Cambria" w:cs="Cambria"/>
          <w:color w:val="000000" w:themeColor="text1"/>
          <w:sz w:val="24"/>
          <w:szCs w:val="24"/>
          <w14:textFill>
            <w14:solidFill>
              <w14:schemeClr w14:val="tx1"/>
            </w14:solidFill>
          </w14:textFill>
        </w:rPr>
        <w:t>,-</w:t>
      </w:r>
      <w:r>
        <w:rPr>
          <w:rFonts w:hint="default" w:ascii="Cambria" w:hAnsi="Cambria" w:cs="Cambria"/>
          <w:color w:val="000000" w:themeColor="text1"/>
          <w:sz w:val="24"/>
          <w:szCs w:val="24"/>
          <w:lang w:val="id-ID"/>
          <w14:textFill>
            <w14:solidFill>
              <w14:schemeClr w14:val="tx1"/>
            </w14:solidFill>
          </w14:textFill>
        </w:rPr>
        <w:t xml:space="preserve"> atau </w:t>
      </w:r>
      <w:r>
        <w:rPr>
          <w:rFonts w:hint="default" w:ascii="Cambria" w:hAnsi="Cambria" w:cs="Cambria"/>
          <w:color w:val="000000" w:themeColor="text1"/>
          <w:sz w:val="24"/>
          <w:szCs w:val="24"/>
          <w14:textFill>
            <w14:solidFill>
              <w14:schemeClr w14:val="tx1"/>
            </w14:solidFill>
          </w14:textFill>
        </w:rPr>
        <w:t>92,9</w:t>
      </w:r>
      <w:r>
        <w:rPr>
          <w:rFonts w:hint="default" w:ascii="Cambria" w:hAnsi="Cambria" w:cs="Cambria"/>
          <w:color w:val="000000" w:themeColor="text1"/>
          <w:sz w:val="24"/>
          <w:szCs w:val="24"/>
          <w:lang w:val="en-US"/>
          <w14:textFill>
            <w14:solidFill>
              <w14:schemeClr w14:val="tx1"/>
            </w14:solidFill>
          </w14:textFill>
        </w:rPr>
        <w:t>3</w:t>
      </w:r>
      <w:r>
        <w:rPr>
          <w:rFonts w:hint="default" w:ascii="Cambria" w:hAnsi="Cambria" w:cs="Cambria"/>
          <w:color w:val="000000" w:themeColor="text1"/>
          <w:sz w:val="24"/>
          <w:szCs w:val="24"/>
          <w:lang w:val="id-ID"/>
          <w14:textFill>
            <w14:solidFill>
              <w14:schemeClr w14:val="tx1"/>
            </w14:solidFill>
          </w14:textFill>
        </w:rPr>
        <w:t>% dengan sisa anggaran</w:t>
      </w:r>
      <w:r>
        <w:rPr>
          <w:rFonts w:hint="default" w:ascii="Cambria" w:hAnsi="Cambria" w:cs="Cambria"/>
          <w:color w:val="000000" w:themeColor="text1"/>
          <w:sz w:val="24"/>
          <w:szCs w:val="24"/>
          <w14:textFill>
            <w14:solidFill>
              <w14:schemeClr w14:val="tx1"/>
            </w14:solidFill>
          </w14:textFill>
        </w:rPr>
        <w:t xml:space="preserve"> </w:t>
      </w:r>
      <w:r>
        <w:rPr>
          <w:rFonts w:hint="default" w:ascii="Cambria" w:hAnsi="Cambria" w:cs="Cambria"/>
          <w:color w:val="000000" w:themeColor="text1"/>
          <w:sz w:val="24"/>
          <w:szCs w:val="24"/>
          <w:lang w:val="id-ID"/>
          <w14:textFill>
            <w14:solidFill>
              <w14:schemeClr w14:val="tx1"/>
            </w14:solidFill>
          </w14:textFill>
        </w:rPr>
        <w:t>sebesar Rp.</w:t>
      </w:r>
      <w:r>
        <w:rPr>
          <w:rFonts w:hint="default" w:ascii="Cambria" w:hAnsi="Cambria" w:cs="Cambria"/>
          <w:color w:val="000000" w:themeColor="text1"/>
          <w:sz w:val="24"/>
          <w:szCs w:val="24"/>
          <w14:textFill>
            <w14:solidFill>
              <w14:schemeClr w14:val="tx1"/>
            </w14:solidFill>
          </w14:textFill>
        </w:rPr>
        <w:t>1.416.399.255,-</w:t>
      </w:r>
      <w:r>
        <w:rPr>
          <w:rFonts w:hint="default" w:ascii="Cambria" w:hAnsi="Cambria" w:cs="Cambria"/>
          <w:color w:val="000000" w:themeColor="text1"/>
          <w:sz w:val="24"/>
          <w:szCs w:val="24"/>
          <w:lang w:val="id-ID"/>
          <w14:textFill>
            <w14:solidFill>
              <w14:schemeClr w14:val="tx1"/>
            </w14:solidFill>
          </w14:textFill>
        </w:rPr>
        <w:t>.</w:t>
      </w:r>
    </w:p>
    <w:p>
      <w:pPr>
        <w:pStyle w:val="19"/>
        <w:tabs>
          <w:tab w:val="left" w:pos="1701"/>
        </w:tabs>
        <w:spacing w:line="360" w:lineRule="auto"/>
        <w:jc w:val="center"/>
        <w:rPr>
          <w:rFonts w:hint="default" w:ascii="Cambria" w:hAnsi="Cambria" w:cs="Cambria"/>
          <w:sz w:val="24"/>
          <w:szCs w:val="24"/>
        </w:rPr>
      </w:pPr>
      <w:r>
        <w:rPr>
          <w:rFonts w:hint="default" w:ascii="Cambria" w:hAnsi="Cambria" w:cs="Cambria"/>
          <w:sz w:val="24"/>
          <w:szCs w:val="24"/>
        </w:rPr>
        <w:t>Tabel 3.3.1</w:t>
      </w:r>
    </w:p>
    <w:p>
      <w:pPr>
        <w:spacing w:after="0" w:line="360" w:lineRule="auto"/>
        <w:jc w:val="center"/>
        <w:rPr>
          <w:rFonts w:hint="default" w:ascii="Cambria" w:hAnsi="Cambria" w:cs="Cambria"/>
          <w:color w:val="auto"/>
          <w:sz w:val="24"/>
          <w:szCs w:val="24"/>
        </w:rPr>
      </w:pPr>
      <w:r>
        <w:rPr>
          <w:rFonts w:hint="default" w:ascii="Cambria" w:hAnsi="Cambria" w:cs="Cambria"/>
          <w:color w:val="auto"/>
          <w:sz w:val="24"/>
          <w:szCs w:val="24"/>
        </w:rPr>
        <w:t>Realisasi Keuangan Tahun 2022</w:t>
      </w:r>
    </w:p>
    <w:p>
      <w:pPr>
        <w:spacing w:after="0" w:line="360" w:lineRule="auto"/>
        <w:jc w:val="center"/>
        <w:rPr>
          <w:rFonts w:hint="default" w:ascii="Cambria" w:hAnsi="Cambria" w:cs="Cambria"/>
          <w:b/>
          <w:sz w:val="24"/>
          <w:szCs w:val="24"/>
        </w:rPr>
      </w:pPr>
    </w:p>
    <w:tbl>
      <w:tblPr>
        <w:tblStyle w:val="3"/>
        <w:tblW w:w="9548" w:type="dxa"/>
        <w:tblInd w:w="-601" w:type="dxa"/>
        <w:tblLayout w:type="fixed"/>
        <w:tblCellMar>
          <w:top w:w="0" w:type="dxa"/>
          <w:left w:w="108" w:type="dxa"/>
          <w:bottom w:w="0" w:type="dxa"/>
          <w:right w:w="108" w:type="dxa"/>
        </w:tblCellMar>
      </w:tblPr>
      <w:tblGrid>
        <w:gridCol w:w="503"/>
        <w:gridCol w:w="2354"/>
        <w:gridCol w:w="1800"/>
        <w:gridCol w:w="2191"/>
        <w:gridCol w:w="1860"/>
        <w:gridCol w:w="840"/>
      </w:tblGrid>
      <w:tr>
        <w:tblPrEx>
          <w:tblCellMar>
            <w:top w:w="0" w:type="dxa"/>
            <w:left w:w="108" w:type="dxa"/>
            <w:bottom w:w="0" w:type="dxa"/>
            <w:right w:w="108" w:type="dxa"/>
          </w:tblCellMar>
        </w:tblPrEx>
        <w:trPr>
          <w:trHeight w:val="640" w:hRule="atLeast"/>
        </w:trPr>
        <w:tc>
          <w:tcPr>
            <w:tcW w:w="503"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No</w:t>
            </w:r>
          </w:p>
        </w:tc>
        <w:tc>
          <w:tcPr>
            <w:tcW w:w="2354" w:type="dxa"/>
            <w:tcBorders>
              <w:top w:val="single" w:color="auto" w:sz="4" w:space="0"/>
              <w:left w:val="nil"/>
              <w:bottom w:val="single" w:color="auto" w:sz="4" w:space="0"/>
              <w:right w:val="single" w:color="auto" w:sz="4" w:space="0"/>
            </w:tcBorders>
            <w:shd w:val="clear" w:color="auto" w:fill="D8D8D8" w:themeFill="background1" w:themeFillShade="D9"/>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Nama Program dan Kegiatan</w:t>
            </w:r>
          </w:p>
        </w:tc>
        <w:tc>
          <w:tcPr>
            <w:tcW w:w="1800" w:type="dxa"/>
            <w:tcBorders>
              <w:top w:val="single" w:color="auto" w:sz="4" w:space="0"/>
              <w:left w:val="nil"/>
              <w:bottom w:val="single" w:color="auto" w:sz="4" w:space="0"/>
              <w:right w:val="single" w:color="auto" w:sz="4" w:space="0"/>
            </w:tcBorders>
            <w:shd w:val="clear" w:color="auto" w:fill="D8D8D8" w:themeFill="background1" w:themeFillShade="D9"/>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Indikator</w:t>
            </w:r>
          </w:p>
        </w:tc>
        <w:tc>
          <w:tcPr>
            <w:tcW w:w="2191" w:type="dxa"/>
            <w:tcBorders>
              <w:top w:val="single" w:color="auto" w:sz="4" w:space="0"/>
              <w:left w:val="nil"/>
              <w:bottom w:val="single" w:color="auto" w:sz="4" w:space="0"/>
              <w:right w:val="single" w:color="auto" w:sz="4" w:space="0"/>
            </w:tcBorders>
            <w:shd w:val="clear" w:color="auto" w:fill="D8D8D8" w:themeFill="background1" w:themeFillShade="D9"/>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xml:space="preserve"> Pagu </w:t>
            </w:r>
          </w:p>
        </w:tc>
        <w:tc>
          <w:tcPr>
            <w:tcW w:w="1860" w:type="dxa"/>
            <w:tcBorders>
              <w:top w:val="single" w:color="auto" w:sz="4" w:space="0"/>
              <w:left w:val="nil"/>
              <w:bottom w:val="single" w:color="auto" w:sz="4" w:space="0"/>
              <w:right w:val="single" w:color="auto" w:sz="4" w:space="0"/>
            </w:tcBorders>
            <w:shd w:val="clear" w:color="auto" w:fill="D8D8D8" w:themeFill="background1" w:themeFillShade="D9"/>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 xml:space="preserve"> Realisasi </w:t>
            </w:r>
          </w:p>
        </w:tc>
        <w:tc>
          <w:tcPr>
            <w:tcW w:w="840" w:type="dxa"/>
            <w:tcBorders>
              <w:top w:val="single" w:color="auto" w:sz="4" w:space="0"/>
              <w:left w:val="nil"/>
              <w:bottom w:val="single" w:color="auto" w:sz="4" w:space="0"/>
              <w:right w:val="single" w:color="auto" w:sz="4" w:space="0"/>
            </w:tcBorders>
            <w:shd w:val="clear" w:color="auto" w:fill="D8D8D8" w:themeFill="background1" w:themeFillShade="D9"/>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w:t>
            </w:r>
          </w:p>
        </w:tc>
      </w:tr>
      <w:tr>
        <w:tblPrEx>
          <w:tblCellMar>
            <w:top w:w="0" w:type="dxa"/>
            <w:left w:w="108" w:type="dxa"/>
            <w:bottom w:w="0" w:type="dxa"/>
            <w:right w:w="108" w:type="dxa"/>
          </w:tblCellMar>
        </w:tblPrEx>
        <w:trPr>
          <w:trHeight w:val="300" w:hRule="atLeast"/>
        </w:trPr>
        <w:tc>
          <w:tcPr>
            <w:tcW w:w="503" w:type="dxa"/>
            <w:tcBorders>
              <w:top w:val="nil"/>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w:t>
            </w:r>
          </w:p>
        </w:tc>
        <w:tc>
          <w:tcPr>
            <w:tcW w:w="2354" w:type="dxa"/>
            <w:vMerge w:val="restart"/>
            <w:tcBorders>
              <w:top w:val="single" w:color="auto" w:sz="4" w:space="0"/>
              <w:left w:val="single" w:color="auto" w:sz="4" w:space="0"/>
              <w:bottom w:val="single" w:color="auto" w:sz="4" w:space="0"/>
              <w:right w:val="single" w:color="auto" w:sz="4" w:space="0"/>
            </w:tcBorders>
            <w:shd w:val="clear" w:color="auto" w:fill="auto"/>
          </w:tcPr>
          <w:p>
            <w:pPr>
              <w:spacing w:after="0"/>
              <w:ind w:right="-138"/>
              <w:rPr>
                <w:rFonts w:hint="default" w:ascii="Cambria" w:hAnsi="Cambria" w:cs="Cambria"/>
                <w:b/>
                <w:bCs/>
                <w:color w:val="000000"/>
                <w:sz w:val="20"/>
                <w:szCs w:val="20"/>
              </w:rPr>
            </w:pPr>
            <w:r>
              <w:rPr>
                <w:rFonts w:hint="default" w:ascii="Cambria" w:hAnsi="Cambria" w:cs="Cambria"/>
                <w:b/>
                <w:bCs/>
                <w:color w:val="000000"/>
                <w:sz w:val="20"/>
                <w:szCs w:val="20"/>
              </w:rPr>
              <w:t>Penyusunan dan Evaluasi Rencana Pembangunan Industri Kabupaten/Kota</w:t>
            </w:r>
          </w:p>
        </w:tc>
        <w:tc>
          <w:tcPr>
            <w:tcW w:w="1800" w:type="dxa"/>
            <w:vMerge w:val="restart"/>
            <w:tcBorders>
              <w:top w:val="nil"/>
              <w:left w:val="single" w:color="auto" w:sz="4" w:space="0"/>
              <w:bottom w:val="single" w:color="auto" w:sz="4" w:space="0"/>
              <w:right w:val="single" w:color="auto" w:sz="4" w:space="0"/>
            </w:tcBorders>
            <w:shd w:val="clear" w:color="auto" w:fill="auto"/>
            <w:vAlign w:val="bottom"/>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IKM yang berkembang modal usaha dan tenaga kerja</w:t>
            </w:r>
          </w:p>
        </w:tc>
        <w:tc>
          <w:tcPr>
            <w:tcW w:w="2191" w:type="dxa"/>
            <w:vMerge w:val="restart"/>
            <w:tcBorders>
              <w:top w:val="nil"/>
              <w:left w:val="single" w:color="auto" w:sz="4" w:space="0"/>
              <w:bottom w:val="single" w:color="000000"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776.331.000</w:t>
            </w:r>
            <w:r>
              <w:rPr>
                <w:rFonts w:hint="default" w:ascii="Cambria" w:hAnsi="Cambria" w:cs="Cambria"/>
                <w:b/>
                <w:bCs/>
                <w:color w:val="000000"/>
                <w:sz w:val="20"/>
                <w:szCs w:val="20"/>
              </w:rPr>
              <w:t xml:space="preserve">,00 </w:t>
            </w:r>
          </w:p>
        </w:tc>
        <w:tc>
          <w:tcPr>
            <w:tcW w:w="1860" w:type="dxa"/>
            <w:vMerge w:val="restart"/>
            <w:tcBorders>
              <w:top w:val="nil"/>
              <w:left w:val="single" w:color="auto" w:sz="4" w:space="0"/>
              <w:bottom w:val="single" w:color="000000"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744.002.200</w:t>
            </w:r>
            <w:r>
              <w:rPr>
                <w:rFonts w:hint="default" w:ascii="Cambria" w:hAnsi="Cambria" w:cs="Cambria"/>
                <w:b/>
                <w:bCs/>
                <w:color w:val="000000"/>
                <w:sz w:val="20"/>
                <w:szCs w:val="20"/>
              </w:rPr>
              <w:t xml:space="preserve">,00 </w:t>
            </w:r>
          </w:p>
        </w:tc>
        <w:tc>
          <w:tcPr>
            <w:tcW w:w="840" w:type="dxa"/>
            <w:vMerge w:val="restart"/>
            <w:tcBorders>
              <w:top w:val="nil"/>
              <w:left w:val="single" w:color="auto" w:sz="4" w:space="0"/>
              <w:bottom w:val="single" w:color="000000" w:sz="4" w:space="0"/>
              <w:right w:val="single" w:color="auto" w:sz="4" w:space="0"/>
            </w:tcBorders>
            <w:shd w:val="clear" w:color="auto" w:fill="auto"/>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rPr>
              <w:t>9</w:t>
            </w:r>
            <w:r>
              <w:rPr>
                <w:rFonts w:hint="default" w:ascii="Cambria" w:hAnsi="Cambria" w:cs="Cambria"/>
                <w:b/>
                <w:bCs/>
                <w:color w:val="000000"/>
                <w:sz w:val="20"/>
                <w:szCs w:val="20"/>
                <w:lang w:val="id-ID"/>
              </w:rPr>
              <w:t>5,84</w:t>
            </w:r>
          </w:p>
        </w:tc>
      </w:tr>
      <w:tr>
        <w:tblPrEx>
          <w:tblCellMar>
            <w:top w:w="0" w:type="dxa"/>
            <w:left w:w="108" w:type="dxa"/>
            <w:bottom w:w="0" w:type="dxa"/>
            <w:right w:w="108" w:type="dxa"/>
          </w:tblCellMar>
        </w:tblPrEx>
        <w:trPr>
          <w:trHeight w:val="300" w:hRule="atLeast"/>
        </w:trPr>
        <w:tc>
          <w:tcPr>
            <w:tcW w:w="503" w:type="dxa"/>
            <w:tcBorders>
              <w:top w:val="nil"/>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p>
        </w:tc>
        <w:tc>
          <w:tcPr>
            <w:tcW w:w="2354" w:type="dxa"/>
            <w:vMerge w:val="continue"/>
            <w:tcBorders>
              <w:top w:val="nil"/>
              <w:left w:val="single" w:color="auto" w:sz="4" w:space="0"/>
              <w:bottom w:val="nil"/>
              <w:right w:val="single" w:color="auto" w:sz="4" w:space="0"/>
            </w:tcBorders>
            <w:vAlign w:val="center"/>
          </w:tcPr>
          <w:p>
            <w:pPr>
              <w:spacing w:after="0"/>
              <w:rPr>
                <w:rFonts w:hint="default" w:ascii="Cambria" w:hAnsi="Cambria" w:cs="Cambria"/>
                <w:b/>
                <w:bCs/>
                <w:color w:val="000000"/>
                <w:sz w:val="20"/>
                <w:szCs w:val="20"/>
              </w:rPr>
            </w:pPr>
          </w:p>
        </w:tc>
        <w:tc>
          <w:tcPr>
            <w:tcW w:w="1800" w:type="dxa"/>
            <w:vMerge w:val="continue"/>
            <w:tcBorders>
              <w:top w:val="nil"/>
              <w:left w:val="single" w:color="auto" w:sz="4" w:space="0"/>
              <w:bottom w:val="single" w:color="auto" w:sz="4" w:space="0"/>
              <w:right w:val="single" w:color="auto" w:sz="4" w:space="0"/>
            </w:tcBorders>
            <w:vAlign w:val="center"/>
          </w:tcPr>
          <w:p>
            <w:pPr>
              <w:spacing w:after="0"/>
              <w:rPr>
                <w:rFonts w:hint="default" w:ascii="Cambria" w:hAnsi="Cambria" w:cs="Cambria"/>
                <w:color w:val="000000"/>
                <w:sz w:val="20"/>
                <w:szCs w:val="20"/>
              </w:rPr>
            </w:pPr>
          </w:p>
        </w:tc>
        <w:tc>
          <w:tcPr>
            <w:tcW w:w="2191" w:type="dxa"/>
            <w:vMerge w:val="continue"/>
            <w:tcBorders>
              <w:top w:val="nil"/>
              <w:left w:val="single" w:color="auto" w:sz="4" w:space="0"/>
              <w:bottom w:val="single" w:color="000000" w:sz="4" w:space="0"/>
              <w:right w:val="single" w:color="auto" w:sz="4" w:space="0"/>
            </w:tcBorders>
            <w:vAlign w:val="center"/>
          </w:tcPr>
          <w:p>
            <w:pPr>
              <w:spacing w:after="0"/>
              <w:rPr>
                <w:rFonts w:hint="default" w:ascii="Cambria" w:hAnsi="Cambria" w:cs="Cambria"/>
                <w:b/>
                <w:bCs/>
                <w:color w:val="000000"/>
                <w:sz w:val="20"/>
                <w:szCs w:val="20"/>
              </w:rPr>
            </w:pPr>
          </w:p>
        </w:tc>
        <w:tc>
          <w:tcPr>
            <w:tcW w:w="1860" w:type="dxa"/>
            <w:vMerge w:val="continue"/>
            <w:tcBorders>
              <w:top w:val="nil"/>
              <w:left w:val="single" w:color="auto" w:sz="4" w:space="0"/>
              <w:bottom w:val="single" w:color="000000" w:sz="4" w:space="0"/>
              <w:right w:val="single" w:color="auto" w:sz="4" w:space="0"/>
            </w:tcBorders>
            <w:vAlign w:val="center"/>
          </w:tcPr>
          <w:p>
            <w:pPr>
              <w:spacing w:after="0"/>
              <w:rPr>
                <w:rFonts w:hint="default" w:ascii="Cambria" w:hAnsi="Cambria" w:cs="Cambria"/>
                <w:b/>
                <w:bCs/>
                <w:color w:val="000000"/>
                <w:sz w:val="20"/>
                <w:szCs w:val="20"/>
              </w:rPr>
            </w:pPr>
          </w:p>
        </w:tc>
        <w:tc>
          <w:tcPr>
            <w:tcW w:w="840" w:type="dxa"/>
            <w:vMerge w:val="continue"/>
            <w:tcBorders>
              <w:top w:val="nil"/>
              <w:left w:val="single" w:color="auto" w:sz="4" w:space="0"/>
              <w:bottom w:val="single" w:color="000000" w:sz="4" w:space="0"/>
              <w:right w:val="single" w:color="auto" w:sz="4" w:space="0"/>
            </w:tcBorders>
            <w:vAlign w:val="center"/>
          </w:tcPr>
          <w:p>
            <w:pPr>
              <w:spacing w:after="0"/>
              <w:rPr>
                <w:rFonts w:hint="default" w:ascii="Cambria" w:hAnsi="Cambria" w:cs="Cambria"/>
                <w:b/>
                <w:bCs/>
                <w:color w:val="000000"/>
                <w:sz w:val="20"/>
                <w:szCs w:val="20"/>
              </w:rPr>
            </w:pPr>
          </w:p>
        </w:tc>
      </w:tr>
      <w:tr>
        <w:tblPrEx>
          <w:tblCellMar>
            <w:top w:w="0" w:type="dxa"/>
            <w:left w:w="108" w:type="dxa"/>
            <w:bottom w:w="0" w:type="dxa"/>
            <w:right w:w="108" w:type="dxa"/>
          </w:tblCellMar>
        </w:tblPrEx>
        <w:trPr>
          <w:trHeight w:val="300" w:hRule="atLeast"/>
        </w:trPr>
        <w:tc>
          <w:tcPr>
            <w:tcW w:w="503" w:type="dxa"/>
            <w:tcBorders>
              <w:top w:val="nil"/>
              <w:left w:val="single" w:color="auto" w:sz="4" w:space="0"/>
              <w:bottom w:val="single" w:color="auto" w:sz="4" w:space="0"/>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Penyusunan Rencana Pembangunan Industri Kabupaten/Kota</w:t>
            </w:r>
          </w:p>
        </w:tc>
        <w:tc>
          <w:tcPr>
            <w:tcW w:w="1800"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Pembentukan Sentra IKM</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229.131.000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223.231.000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w:t>
            </w:r>
            <w:r>
              <w:rPr>
                <w:rFonts w:hint="default" w:ascii="Cambria" w:hAnsi="Cambria" w:cs="Cambria"/>
                <w:color w:val="000000"/>
                <w:sz w:val="20"/>
                <w:szCs w:val="20"/>
                <w:lang w:val="id-ID"/>
              </w:rPr>
              <w:t>7,43</w:t>
            </w:r>
          </w:p>
        </w:tc>
      </w:tr>
      <w:tr>
        <w:tblPrEx>
          <w:tblCellMar>
            <w:top w:w="0" w:type="dxa"/>
            <w:left w:w="108" w:type="dxa"/>
            <w:bottom w:w="0" w:type="dxa"/>
            <w:right w:w="108" w:type="dxa"/>
          </w:tblCellMar>
        </w:tblPrEx>
        <w:trPr>
          <w:trHeight w:val="300" w:hRule="atLeast"/>
        </w:trPr>
        <w:tc>
          <w:tcPr>
            <w:tcW w:w="503" w:type="dxa"/>
            <w:tcBorders>
              <w:top w:val="single" w:color="auto" w:sz="4" w:space="0"/>
              <w:left w:val="single" w:color="auto" w:sz="4" w:space="0"/>
              <w:bottom w:val="single" w:color="auto" w:sz="4" w:space="0"/>
              <w:right w:val="nil"/>
            </w:tcBorders>
            <w:shd w:val="clear" w:color="auto" w:fill="auto"/>
            <w:vAlign w:val="center"/>
          </w:tcPr>
          <w:p>
            <w:pPr>
              <w:spacing w:after="0"/>
              <w:jc w:val="center"/>
              <w:rPr>
                <w:rFonts w:hint="default" w:ascii="Cambria" w:hAnsi="Cambria" w:cs="Cambria"/>
                <w:color w:val="000000"/>
                <w:sz w:val="20"/>
                <w:szCs w:val="20"/>
              </w:rPr>
            </w:pPr>
          </w:p>
        </w:tc>
        <w:tc>
          <w:tcPr>
            <w:tcW w:w="2354" w:type="dxa"/>
            <w:tcBorders>
              <w:top w:val="single" w:color="auto" w:sz="4" w:space="0"/>
              <w:left w:val="nil"/>
              <w:bottom w:val="single" w:color="auto" w:sz="4" w:space="0"/>
              <w:right w:val="nil"/>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Koordinasi Sinkronisasi, dan Pelaksanaan Kebijakan Percepatan Pengembangan, Penyebaran dan Perwilayahan Industri</w:t>
            </w:r>
          </w:p>
        </w:tc>
        <w:tc>
          <w:tcPr>
            <w:tcW w:w="1800" w:type="dxa"/>
            <w:tcBorders>
              <w:top w:val="single" w:color="auto" w:sz="4" w:space="0"/>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Terlaksananya koordinasi, sinkronisasi, dan pelaksanaan kebijakan percepatan pengembangan, penyebaran dan perwilayahan industri</w:t>
            </w:r>
          </w:p>
        </w:tc>
        <w:tc>
          <w:tcPr>
            <w:tcW w:w="2191" w:type="dxa"/>
            <w:tcBorders>
              <w:top w:val="single" w:color="auto" w:sz="4" w:space="0"/>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165.000.000</w:t>
            </w:r>
            <w:r>
              <w:rPr>
                <w:rFonts w:hint="default" w:ascii="Cambria" w:hAnsi="Cambria" w:cs="Cambria"/>
                <w:color w:val="000000"/>
                <w:sz w:val="20"/>
                <w:szCs w:val="20"/>
              </w:rPr>
              <w:t xml:space="preserve">,00 </w:t>
            </w:r>
          </w:p>
        </w:tc>
        <w:tc>
          <w:tcPr>
            <w:tcW w:w="1860" w:type="dxa"/>
            <w:tcBorders>
              <w:top w:val="single" w:color="auto" w:sz="4" w:space="0"/>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Rp.1</w:t>
            </w:r>
            <w:r>
              <w:rPr>
                <w:rFonts w:hint="default" w:ascii="Cambria" w:hAnsi="Cambria" w:cs="Cambria"/>
                <w:color w:val="000000"/>
                <w:sz w:val="20"/>
                <w:szCs w:val="20"/>
                <w:lang w:val="id-ID"/>
              </w:rPr>
              <w:t>50.552.600</w:t>
            </w:r>
            <w:r>
              <w:rPr>
                <w:rFonts w:hint="default" w:ascii="Cambria" w:hAnsi="Cambria" w:cs="Cambria"/>
                <w:color w:val="000000"/>
                <w:sz w:val="20"/>
                <w:szCs w:val="20"/>
              </w:rPr>
              <w:t xml:space="preserve">,00 </w:t>
            </w:r>
          </w:p>
        </w:tc>
        <w:tc>
          <w:tcPr>
            <w:tcW w:w="840" w:type="dxa"/>
            <w:tcBorders>
              <w:top w:val="single" w:color="auto" w:sz="4" w:space="0"/>
              <w:left w:val="nil"/>
              <w:bottom w:val="single" w:color="auto" w:sz="4" w:space="0"/>
              <w:right w:val="single" w:color="auto" w:sz="4" w:space="0"/>
            </w:tcBorders>
            <w:shd w:val="clear" w:color="auto" w:fill="auto"/>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w:t>
            </w:r>
            <w:r>
              <w:rPr>
                <w:rFonts w:hint="default" w:ascii="Cambria" w:hAnsi="Cambria" w:cs="Cambria"/>
                <w:color w:val="000000"/>
                <w:sz w:val="20"/>
                <w:szCs w:val="20"/>
                <w:lang w:val="id-ID"/>
              </w:rPr>
              <w:t>1,24</w:t>
            </w:r>
          </w:p>
        </w:tc>
      </w:tr>
      <w:tr>
        <w:tblPrEx>
          <w:tblCellMar>
            <w:top w:w="0" w:type="dxa"/>
            <w:left w:w="108" w:type="dxa"/>
            <w:bottom w:w="0" w:type="dxa"/>
            <w:right w:w="108" w:type="dxa"/>
          </w:tblCellMar>
        </w:tblPrEx>
        <w:trPr>
          <w:trHeight w:val="300" w:hRule="atLeast"/>
        </w:trPr>
        <w:tc>
          <w:tcPr>
            <w:tcW w:w="503" w:type="dxa"/>
            <w:tcBorders>
              <w:top w:val="single" w:color="auto" w:sz="4" w:space="0"/>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vMerge w:val="restart"/>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Koordinasi, Sinkronisasi, dan Pelaksanaan Pembangunan Sumber Daya Industri</w:t>
            </w:r>
          </w:p>
        </w:tc>
        <w:tc>
          <w:tcPr>
            <w:tcW w:w="18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spacing w:after="0"/>
              <w:rPr>
                <w:rFonts w:hint="default" w:ascii="Cambria" w:hAnsi="Cambria" w:cs="Cambria"/>
                <w:color w:val="000000"/>
                <w:sz w:val="20"/>
                <w:szCs w:val="20"/>
              </w:rPr>
            </w:pPr>
            <w:r>
              <w:rPr>
                <w:rFonts w:hint="default" w:ascii="Cambria" w:hAnsi="Cambria" w:cs="Cambria"/>
                <w:color w:val="000000"/>
                <w:sz w:val="20"/>
                <w:szCs w:val="20"/>
              </w:rPr>
              <w:t>Pelatihan Pengolahan Industri dan Pemantauan Hasil Pelaksanaan Pelatihan</w:t>
            </w:r>
          </w:p>
        </w:tc>
        <w:tc>
          <w:tcPr>
            <w:tcW w:w="2191" w:type="dxa"/>
            <w:vMerge w:val="restart"/>
            <w:tcBorders>
              <w:top w:val="single" w:color="auto" w:sz="4" w:space="0"/>
              <w:left w:val="single" w:color="auto" w:sz="4" w:space="0"/>
              <w:bottom w:val="single" w:color="000000"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 </w:t>
            </w:r>
            <w:r>
              <w:rPr>
                <w:rFonts w:hint="default" w:ascii="Cambria" w:hAnsi="Cambria" w:cs="Cambria"/>
                <w:color w:val="000000"/>
                <w:sz w:val="20"/>
                <w:szCs w:val="20"/>
                <w:lang w:val="id-ID"/>
              </w:rPr>
              <w:t>5.400.000</w:t>
            </w:r>
            <w:r>
              <w:rPr>
                <w:rFonts w:hint="default" w:ascii="Cambria" w:hAnsi="Cambria" w:cs="Cambria"/>
                <w:color w:val="000000"/>
                <w:sz w:val="20"/>
                <w:szCs w:val="20"/>
              </w:rPr>
              <w:t xml:space="preserve">,00 </w:t>
            </w:r>
          </w:p>
        </w:tc>
        <w:tc>
          <w:tcPr>
            <w:tcW w:w="1860" w:type="dxa"/>
            <w:vMerge w:val="restart"/>
            <w:tcBorders>
              <w:top w:val="single" w:color="auto" w:sz="4" w:space="0"/>
              <w:left w:val="single" w:color="auto" w:sz="4" w:space="0"/>
              <w:bottom w:val="single" w:color="000000"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5.220.000</w:t>
            </w:r>
            <w:r>
              <w:rPr>
                <w:rFonts w:hint="default" w:ascii="Cambria" w:hAnsi="Cambria" w:cs="Cambria"/>
                <w:color w:val="000000"/>
                <w:sz w:val="20"/>
                <w:szCs w:val="20"/>
              </w:rPr>
              <w:t xml:space="preserve">,00 </w:t>
            </w:r>
          </w:p>
        </w:tc>
        <w:tc>
          <w:tcPr>
            <w:tcW w:w="840" w:type="dxa"/>
            <w:vMerge w:val="restart"/>
            <w:tcBorders>
              <w:top w:val="single" w:color="auto" w:sz="4" w:space="0"/>
              <w:left w:val="single" w:color="auto" w:sz="4" w:space="0"/>
              <w:bottom w:val="single" w:color="000000" w:sz="4" w:space="0"/>
              <w:right w:val="single" w:color="auto" w:sz="4" w:space="0"/>
            </w:tcBorders>
            <w:shd w:val="clear" w:color="auto" w:fill="auto"/>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w:t>
            </w:r>
            <w:r>
              <w:rPr>
                <w:rFonts w:hint="default" w:ascii="Cambria" w:hAnsi="Cambria" w:cs="Cambria"/>
                <w:color w:val="000000"/>
                <w:sz w:val="20"/>
                <w:szCs w:val="20"/>
                <w:lang w:val="id-ID"/>
              </w:rPr>
              <w:t>6,67</w:t>
            </w:r>
          </w:p>
        </w:tc>
      </w:tr>
      <w:tr>
        <w:tblPrEx>
          <w:tblCellMar>
            <w:top w:w="0" w:type="dxa"/>
            <w:left w:w="108" w:type="dxa"/>
            <w:bottom w:w="0" w:type="dxa"/>
            <w:right w:w="108" w:type="dxa"/>
          </w:tblCellMar>
        </w:tblPrEx>
        <w:trPr>
          <w:trHeight w:val="840" w:hRule="atLeast"/>
        </w:trPr>
        <w:tc>
          <w:tcPr>
            <w:tcW w:w="503" w:type="dxa"/>
            <w:tcBorders>
              <w:top w:val="nil"/>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vMerge w:val="continue"/>
            <w:tcBorders>
              <w:top w:val="nil"/>
              <w:left w:val="single" w:color="auto" w:sz="4" w:space="0"/>
              <w:bottom w:val="nil"/>
              <w:right w:val="single" w:color="auto" w:sz="4" w:space="0"/>
            </w:tcBorders>
            <w:vAlign w:val="center"/>
          </w:tcPr>
          <w:p>
            <w:pPr>
              <w:spacing w:after="0"/>
              <w:rPr>
                <w:rFonts w:hint="default" w:ascii="Cambria" w:hAnsi="Cambria" w:cs="Cambria"/>
                <w:color w:val="000000"/>
                <w:sz w:val="20"/>
                <w:szCs w:val="20"/>
              </w:rPr>
            </w:pPr>
          </w:p>
        </w:tc>
        <w:tc>
          <w:tcPr>
            <w:tcW w:w="1800" w:type="dxa"/>
            <w:vMerge w:val="continue"/>
            <w:tcBorders>
              <w:top w:val="nil"/>
              <w:left w:val="single" w:color="auto" w:sz="4" w:space="0"/>
              <w:bottom w:val="single" w:color="auto" w:sz="4" w:space="0"/>
              <w:right w:val="single" w:color="auto" w:sz="4" w:space="0"/>
            </w:tcBorders>
            <w:vAlign w:val="center"/>
          </w:tcPr>
          <w:p>
            <w:pPr>
              <w:spacing w:after="0"/>
              <w:rPr>
                <w:rFonts w:hint="default" w:ascii="Cambria" w:hAnsi="Cambria" w:cs="Cambria"/>
                <w:color w:val="000000"/>
                <w:sz w:val="20"/>
                <w:szCs w:val="20"/>
              </w:rPr>
            </w:pPr>
          </w:p>
        </w:tc>
        <w:tc>
          <w:tcPr>
            <w:tcW w:w="2191" w:type="dxa"/>
            <w:vMerge w:val="continue"/>
            <w:tcBorders>
              <w:top w:val="nil"/>
              <w:left w:val="single" w:color="auto" w:sz="4" w:space="0"/>
              <w:bottom w:val="single" w:color="000000" w:sz="4" w:space="0"/>
              <w:right w:val="single" w:color="auto" w:sz="4" w:space="0"/>
            </w:tcBorders>
            <w:vAlign w:val="center"/>
          </w:tcPr>
          <w:p>
            <w:pPr>
              <w:spacing w:after="0"/>
              <w:rPr>
                <w:rFonts w:hint="default" w:ascii="Cambria" w:hAnsi="Cambria" w:cs="Cambria"/>
                <w:color w:val="000000"/>
                <w:sz w:val="20"/>
                <w:szCs w:val="20"/>
              </w:rPr>
            </w:pPr>
          </w:p>
        </w:tc>
        <w:tc>
          <w:tcPr>
            <w:tcW w:w="1860" w:type="dxa"/>
            <w:vMerge w:val="continue"/>
            <w:tcBorders>
              <w:top w:val="nil"/>
              <w:left w:val="single" w:color="auto" w:sz="4" w:space="0"/>
              <w:bottom w:val="single" w:color="000000" w:sz="4" w:space="0"/>
              <w:right w:val="single" w:color="auto" w:sz="4" w:space="0"/>
            </w:tcBorders>
            <w:vAlign w:val="center"/>
          </w:tcPr>
          <w:p>
            <w:pPr>
              <w:spacing w:after="0"/>
              <w:rPr>
                <w:rFonts w:hint="default" w:ascii="Cambria" w:hAnsi="Cambria" w:cs="Cambria"/>
                <w:color w:val="000000"/>
                <w:sz w:val="20"/>
                <w:szCs w:val="20"/>
              </w:rPr>
            </w:pPr>
          </w:p>
        </w:tc>
        <w:tc>
          <w:tcPr>
            <w:tcW w:w="840" w:type="dxa"/>
            <w:vMerge w:val="continue"/>
            <w:tcBorders>
              <w:top w:val="nil"/>
              <w:left w:val="single" w:color="auto" w:sz="4" w:space="0"/>
              <w:bottom w:val="single" w:color="000000" w:sz="4" w:space="0"/>
              <w:right w:val="single" w:color="auto" w:sz="4" w:space="0"/>
            </w:tcBorders>
            <w:vAlign w:val="center"/>
          </w:tcPr>
          <w:p>
            <w:pPr>
              <w:spacing w:after="0"/>
              <w:rPr>
                <w:rFonts w:hint="default" w:ascii="Cambria" w:hAnsi="Cambria" w:cs="Cambria"/>
                <w:color w:val="000000"/>
                <w:sz w:val="20"/>
                <w:szCs w:val="20"/>
              </w:rPr>
            </w:pPr>
          </w:p>
        </w:tc>
      </w:tr>
      <w:tr>
        <w:tblPrEx>
          <w:tblCellMar>
            <w:top w:w="0" w:type="dxa"/>
            <w:left w:w="108" w:type="dxa"/>
            <w:bottom w:w="0" w:type="dxa"/>
            <w:right w:w="108" w:type="dxa"/>
          </w:tblCellMar>
        </w:tblPrEx>
        <w:trPr>
          <w:trHeight w:val="1275" w:hRule="atLeast"/>
        </w:trPr>
        <w:tc>
          <w:tcPr>
            <w:tcW w:w="503" w:type="dxa"/>
            <w:tcBorders>
              <w:top w:val="nil"/>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tcBorders>
              <w:top w:val="single" w:color="auto" w:sz="4" w:space="0"/>
              <w:left w:val="nil"/>
              <w:bottom w:val="single" w:color="auto" w:sz="4" w:space="0"/>
              <w:right w:val="single" w:color="000000"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Koordinasi, Sinkronisasi dan Pelaksanaan Pemberdayaan Industri dan Peran Serta Masyarakat </w:t>
            </w:r>
          </w:p>
        </w:tc>
        <w:tc>
          <w:tcPr>
            <w:tcW w:w="180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Studi kawasan IKM kerajinan dan kajian ekonomi pembangunan distribusi logistik teluk bone</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46.800.000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45.267.800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w:t>
            </w:r>
            <w:r>
              <w:rPr>
                <w:rFonts w:hint="default" w:ascii="Cambria" w:hAnsi="Cambria" w:cs="Cambria"/>
                <w:color w:val="000000"/>
                <w:sz w:val="20"/>
                <w:szCs w:val="20"/>
                <w:lang w:val="id-ID"/>
              </w:rPr>
              <w:t>6,73</w:t>
            </w:r>
          </w:p>
        </w:tc>
      </w:tr>
      <w:tr>
        <w:tblPrEx>
          <w:tblCellMar>
            <w:top w:w="0" w:type="dxa"/>
            <w:left w:w="108" w:type="dxa"/>
            <w:bottom w:w="0" w:type="dxa"/>
            <w:right w:w="108" w:type="dxa"/>
          </w:tblCellMar>
        </w:tblPrEx>
        <w:trPr>
          <w:trHeight w:val="1020" w:hRule="atLeast"/>
        </w:trPr>
        <w:tc>
          <w:tcPr>
            <w:tcW w:w="503" w:type="dxa"/>
            <w:tcBorders>
              <w:top w:val="nil"/>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Evaluasi Terhadap Pelaksanaan Rencana Pembangunan Industri</w:t>
            </w:r>
          </w:p>
        </w:tc>
        <w:tc>
          <w:tcPr>
            <w:tcW w:w="180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pameran Indsutri kreatif, deskranasda, hari jadi sulses dan pameran industri</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330.000.000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319.730.800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w:t>
            </w:r>
            <w:r>
              <w:rPr>
                <w:rFonts w:hint="default" w:ascii="Cambria" w:hAnsi="Cambria" w:cs="Cambria"/>
                <w:color w:val="000000"/>
                <w:sz w:val="20"/>
                <w:szCs w:val="20"/>
                <w:lang w:val="id-ID"/>
              </w:rPr>
              <w:t>6,89</w:t>
            </w:r>
          </w:p>
        </w:tc>
      </w:tr>
      <w:tr>
        <w:tblPrEx>
          <w:tblCellMar>
            <w:top w:w="0" w:type="dxa"/>
            <w:left w:w="108" w:type="dxa"/>
            <w:bottom w:w="0" w:type="dxa"/>
            <w:right w:w="108" w:type="dxa"/>
          </w:tblCellMar>
        </w:tblPrEx>
        <w:trPr>
          <w:trHeight w:val="765" w:hRule="atLeast"/>
        </w:trPr>
        <w:tc>
          <w:tcPr>
            <w:tcW w:w="503" w:type="dxa"/>
            <w:tcBorders>
              <w:top w:val="single" w:color="auto" w:sz="4" w:space="0"/>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2</w:t>
            </w:r>
          </w:p>
        </w:tc>
        <w:tc>
          <w:tcPr>
            <w:tcW w:w="2354"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Penerbitan Izin Usaha Industri (IUI), Izin Perluasan Usaha Industri (IPUI), Izin Usaha Kawasan  Industri (IUKI) dan Izin Perluasan Kawasan Industri (IPKI) Kewenangan Kabupaten/Kota berbasis Sistem Informasi Industri Nasional (SIINAS)</w:t>
            </w:r>
          </w:p>
        </w:tc>
        <w:tc>
          <w:tcPr>
            <w:tcW w:w="1800"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izin usaha yang dikeluarkan</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18"/>
                <w:szCs w:val="18"/>
              </w:rPr>
            </w:pPr>
            <w:r>
              <w:rPr>
                <w:rFonts w:hint="default" w:ascii="Cambria" w:hAnsi="Cambria" w:cs="Cambria"/>
                <w:b/>
                <w:bCs/>
                <w:color w:val="000000"/>
                <w:sz w:val="18"/>
                <w:szCs w:val="18"/>
              </w:rPr>
              <w:t xml:space="preserve"> Rp.</w:t>
            </w:r>
            <w:r>
              <w:rPr>
                <w:rFonts w:hint="default" w:ascii="Cambria" w:hAnsi="Cambria" w:cs="Cambria"/>
                <w:b/>
                <w:bCs/>
                <w:color w:val="000000"/>
                <w:sz w:val="18"/>
                <w:szCs w:val="18"/>
                <w:lang w:val="id-ID"/>
              </w:rPr>
              <w:t>8.129.742.125</w:t>
            </w:r>
            <w:r>
              <w:rPr>
                <w:rFonts w:hint="default" w:ascii="Cambria" w:hAnsi="Cambria" w:cs="Cambria"/>
                <w:b/>
                <w:bCs/>
                <w:color w:val="000000"/>
                <w:sz w:val="18"/>
                <w:szCs w:val="18"/>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18"/>
                <w:szCs w:val="18"/>
              </w:rPr>
            </w:pPr>
            <w:r>
              <w:rPr>
                <w:rFonts w:hint="default" w:ascii="Cambria" w:hAnsi="Cambria" w:cs="Cambria"/>
                <w:b/>
                <w:bCs/>
                <w:color w:val="000000"/>
                <w:sz w:val="18"/>
                <w:szCs w:val="18"/>
              </w:rPr>
              <w:t xml:space="preserve"> Rp.</w:t>
            </w:r>
            <w:r>
              <w:rPr>
                <w:rFonts w:hint="default" w:ascii="Cambria" w:hAnsi="Cambria" w:cs="Cambria"/>
                <w:b/>
                <w:bCs/>
                <w:color w:val="000000"/>
                <w:sz w:val="18"/>
                <w:szCs w:val="18"/>
                <w:lang w:val="id-ID"/>
              </w:rPr>
              <w:t>7.627.629.034</w:t>
            </w:r>
            <w:r>
              <w:rPr>
                <w:rFonts w:hint="default" w:ascii="Cambria" w:hAnsi="Cambria" w:cs="Cambria"/>
                <w:b/>
                <w:bCs/>
                <w:color w:val="000000"/>
                <w:sz w:val="18"/>
                <w:szCs w:val="18"/>
              </w:rPr>
              <w:t xml:space="preserve">,00 </w:t>
            </w:r>
          </w:p>
        </w:tc>
        <w:tc>
          <w:tcPr>
            <w:tcW w:w="840" w:type="dxa"/>
            <w:tcBorders>
              <w:top w:val="nil"/>
              <w:left w:val="nil"/>
              <w:bottom w:val="single" w:color="auto" w:sz="4" w:space="0"/>
              <w:right w:val="single" w:color="auto" w:sz="4" w:space="0"/>
            </w:tcBorders>
            <w:shd w:val="clear" w:color="auto" w:fill="auto"/>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lang w:val="id-ID"/>
              </w:rPr>
              <w:t>93,82</w:t>
            </w:r>
          </w:p>
        </w:tc>
      </w:tr>
      <w:tr>
        <w:tblPrEx>
          <w:tblCellMar>
            <w:top w:w="0" w:type="dxa"/>
            <w:left w:w="108" w:type="dxa"/>
            <w:bottom w:w="0" w:type="dxa"/>
            <w:right w:w="108" w:type="dxa"/>
          </w:tblCellMar>
        </w:tblPrEx>
        <w:trPr>
          <w:trHeight w:val="1020" w:hRule="atLeast"/>
        </w:trPr>
        <w:tc>
          <w:tcPr>
            <w:tcW w:w="503" w:type="dxa"/>
            <w:tcBorders>
              <w:top w:val="nil"/>
              <w:left w:val="single" w:color="auto" w:sz="4" w:space="0"/>
              <w:bottom w:val="single" w:color="auto" w:sz="4" w:space="0"/>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color w:val="000000"/>
                <w:sz w:val="18"/>
                <w:szCs w:val="18"/>
              </w:rPr>
            </w:pPr>
            <w:r>
              <w:rPr>
                <w:rFonts w:hint="default" w:ascii="Cambria" w:hAnsi="Cambria" w:cs="Cambria"/>
                <w:color w:val="000000"/>
                <w:sz w:val="18"/>
                <w:szCs w:val="18"/>
              </w:rPr>
              <w:t>Fasilitasi Pemenuhan Komitmen Perolehan IUI, IPUI, IUKI dan IPKI Kewenangan Kabupaten/Kota dalam Sistem Informasi Industri Nasional (SIINAS) yang Terintegrasi dengan Sistem Pelayanan Perizinan berusaha terintegrasi secara elektronik berbasis sitem Informasi Industri Nasional (SIINAS)</w:t>
            </w:r>
          </w:p>
        </w:tc>
        <w:tc>
          <w:tcPr>
            <w:tcW w:w="1800"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Persentase Fasilitasi Pemenuhan Komitmen Perolehan Izin usaha Industri</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1.720.161.000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1.637.858.200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95,22</w:t>
            </w:r>
          </w:p>
        </w:tc>
      </w:tr>
      <w:tr>
        <w:tblPrEx>
          <w:tblCellMar>
            <w:top w:w="0" w:type="dxa"/>
            <w:left w:w="108" w:type="dxa"/>
            <w:bottom w:w="0" w:type="dxa"/>
            <w:right w:w="108" w:type="dxa"/>
          </w:tblCellMar>
        </w:tblPrEx>
        <w:trPr>
          <w:trHeight w:val="1275" w:hRule="atLeast"/>
        </w:trPr>
        <w:tc>
          <w:tcPr>
            <w:tcW w:w="503"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Koordinasi dan Sinkronisasi Pengawasan Perizinan di Bidang Industri dalam Lingkup IUI, IPUI, IUKI, dan IPKI Kewenangan Kabupaten/Kota</w:t>
            </w:r>
          </w:p>
        </w:tc>
        <w:tc>
          <w:tcPr>
            <w:tcW w:w="1800"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Kunker ke Dinas Perindustrian Takalar/</w:t>
            </w:r>
            <w:r>
              <w:rPr>
                <w:rFonts w:hint="default" w:ascii="Cambria" w:hAnsi="Cambria" w:cs="Cambria"/>
                <w:color w:val="000000"/>
                <w:sz w:val="20"/>
                <w:szCs w:val="20"/>
                <w:lang w:val="en-US"/>
              </w:rPr>
              <w:t xml:space="preserve"> </w:t>
            </w:r>
            <w:r>
              <w:rPr>
                <w:rFonts w:hint="default" w:ascii="Cambria" w:hAnsi="Cambria" w:cs="Cambria"/>
                <w:color w:val="000000"/>
                <w:sz w:val="20"/>
                <w:szCs w:val="20"/>
                <w:lang w:val="id-ID"/>
              </w:rPr>
              <w:t>Jeneponto</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Rp.6.409.581.125,00</w:t>
            </w:r>
          </w:p>
        </w:tc>
        <w:tc>
          <w:tcPr>
            <w:tcW w:w="186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Rp.5.989.770.834,00</w:t>
            </w:r>
          </w:p>
        </w:tc>
        <w:tc>
          <w:tcPr>
            <w:tcW w:w="84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93,45</w:t>
            </w:r>
          </w:p>
        </w:tc>
      </w:tr>
      <w:tr>
        <w:tblPrEx>
          <w:tblCellMar>
            <w:top w:w="0" w:type="dxa"/>
            <w:left w:w="108" w:type="dxa"/>
            <w:bottom w:w="0" w:type="dxa"/>
            <w:right w:w="108" w:type="dxa"/>
          </w:tblCellMar>
        </w:tblPrEx>
        <w:trPr>
          <w:trHeight w:val="1275" w:hRule="atLeast"/>
        </w:trPr>
        <w:tc>
          <w:tcPr>
            <w:tcW w:w="503" w:type="dxa"/>
            <w:tcBorders>
              <w:top w:val="single" w:color="auto" w:sz="4" w:space="0"/>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3</w:t>
            </w:r>
          </w:p>
        </w:tc>
        <w:tc>
          <w:tcPr>
            <w:tcW w:w="2354"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b/>
                <w:color w:val="000000"/>
                <w:sz w:val="20"/>
                <w:szCs w:val="20"/>
                <w:lang w:val="id-ID"/>
              </w:rPr>
            </w:pPr>
            <w:r>
              <w:rPr>
                <w:rFonts w:hint="default" w:ascii="Cambria" w:hAnsi="Cambria" w:cs="Cambria"/>
                <w:b/>
                <w:color w:val="000000"/>
                <w:sz w:val="20"/>
                <w:szCs w:val="20"/>
                <w:lang w:val="id-ID"/>
              </w:rPr>
              <w:t>Penerbitan Izin Pengelolaan Pasar Rakyat, Pusat Perbelanjaan, dan Izin Usaha Toko Swalayan</w:t>
            </w:r>
          </w:p>
        </w:tc>
        <w:tc>
          <w:tcPr>
            <w:tcW w:w="1800"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peningkatan penerbitan izin Pengelolaan Pasar Rakyat, Pusat Perbelanjaan, dan Izin Usaha Toko Swalayan</w:t>
            </w:r>
          </w:p>
        </w:tc>
        <w:tc>
          <w:tcPr>
            <w:tcW w:w="2191"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b/>
                <w:color w:val="000000"/>
                <w:sz w:val="20"/>
                <w:szCs w:val="20"/>
                <w:lang w:val="id-ID"/>
              </w:rPr>
            </w:pPr>
            <w:r>
              <w:rPr>
                <w:rFonts w:hint="default" w:ascii="Cambria" w:hAnsi="Cambria" w:cs="Cambria"/>
                <w:b/>
                <w:color w:val="000000"/>
                <w:sz w:val="20"/>
                <w:szCs w:val="20"/>
                <w:lang w:val="id-ID"/>
              </w:rPr>
              <w:t>Rp.20.405.500,00</w:t>
            </w:r>
          </w:p>
        </w:tc>
        <w:tc>
          <w:tcPr>
            <w:tcW w:w="1860"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b/>
                <w:color w:val="000000"/>
                <w:sz w:val="20"/>
                <w:szCs w:val="20"/>
                <w:lang w:val="id-ID"/>
              </w:rPr>
            </w:pPr>
            <w:r>
              <w:rPr>
                <w:rFonts w:hint="default" w:ascii="Cambria" w:hAnsi="Cambria" w:cs="Cambria"/>
                <w:b/>
                <w:color w:val="000000"/>
                <w:sz w:val="20"/>
                <w:szCs w:val="20"/>
                <w:lang w:val="id-ID"/>
              </w:rPr>
              <w:t>Rp.17.137.500,00</w:t>
            </w:r>
          </w:p>
        </w:tc>
        <w:tc>
          <w:tcPr>
            <w:tcW w:w="840" w:type="dxa"/>
            <w:tcBorders>
              <w:top w:val="single" w:color="auto" w:sz="4" w:space="0"/>
              <w:left w:val="nil"/>
              <w:bottom w:val="single" w:color="auto" w:sz="4" w:space="0"/>
              <w:right w:val="single" w:color="auto" w:sz="4" w:space="0"/>
            </w:tcBorders>
            <w:shd w:val="clear" w:color="auto" w:fill="auto"/>
            <w:vAlign w:val="center"/>
          </w:tcPr>
          <w:p>
            <w:pPr>
              <w:spacing w:after="0"/>
              <w:jc w:val="center"/>
              <w:rPr>
                <w:rFonts w:hint="default" w:ascii="Cambria" w:hAnsi="Cambria" w:cs="Cambria"/>
                <w:b/>
                <w:color w:val="000000"/>
                <w:sz w:val="20"/>
                <w:szCs w:val="20"/>
                <w:lang w:val="id-ID"/>
              </w:rPr>
            </w:pPr>
            <w:r>
              <w:rPr>
                <w:rFonts w:hint="default" w:ascii="Cambria" w:hAnsi="Cambria" w:cs="Cambria"/>
                <w:b/>
                <w:color w:val="000000"/>
                <w:sz w:val="20"/>
                <w:szCs w:val="20"/>
                <w:lang w:val="id-ID"/>
              </w:rPr>
              <w:t>83,98</w:t>
            </w:r>
          </w:p>
        </w:tc>
      </w:tr>
      <w:tr>
        <w:tblPrEx>
          <w:tblCellMar>
            <w:top w:w="0" w:type="dxa"/>
            <w:left w:w="108" w:type="dxa"/>
            <w:bottom w:w="0" w:type="dxa"/>
            <w:right w:w="108" w:type="dxa"/>
          </w:tblCellMar>
        </w:tblPrEx>
        <w:trPr>
          <w:trHeight w:val="1275" w:hRule="atLeast"/>
        </w:trPr>
        <w:tc>
          <w:tcPr>
            <w:tcW w:w="503" w:type="dxa"/>
            <w:tcBorders>
              <w:top w:val="nil"/>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p>
        </w:tc>
        <w:tc>
          <w:tcPr>
            <w:tcW w:w="2354"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Fasilitasi Pemenuhan Komitmen Perolehan Perizinan Pasar Rakyat, Pusat Perbelanjaan, dan Toko Swalayan melalui Sistem Pelayanan Perizinan Berusaha Terintegrasi Secara Elektronik</w:t>
            </w:r>
          </w:p>
        </w:tc>
        <w:tc>
          <w:tcPr>
            <w:tcW w:w="1800"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Penerbitan Surat Rekomendasi Perizinan</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Rp.20.405.500,00</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Rp.17.137.500,00</w:t>
            </w:r>
          </w:p>
        </w:tc>
        <w:tc>
          <w:tcPr>
            <w:tcW w:w="840" w:type="dxa"/>
            <w:tcBorders>
              <w:top w:val="nil"/>
              <w:left w:val="nil"/>
              <w:bottom w:val="single" w:color="auto" w:sz="4" w:space="0"/>
              <w:right w:val="single" w:color="auto" w:sz="4" w:space="0"/>
            </w:tcBorders>
            <w:shd w:val="clear" w:color="auto" w:fill="auto"/>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83,98</w:t>
            </w:r>
          </w:p>
        </w:tc>
      </w:tr>
      <w:tr>
        <w:tblPrEx>
          <w:tblCellMar>
            <w:top w:w="0" w:type="dxa"/>
            <w:left w:w="108" w:type="dxa"/>
            <w:bottom w:w="0" w:type="dxa"/>
            <w:right w:w="108" w:type="dxa"/>
          </w:tblCellMar>
        </w:tblPrEx>
        <w:trPr>
          <w:trHeight w:val="510" w:hRule="atLeast"/>
        </w:trPr>
        <w:tc>
          <w:tcPr>
            <w:tcW w:w="503" w:type="dxa"/>
            <w:tcBorders>
              <w:top w:val="single" w:color="auto" w:sz="4" w:space="0"/>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4</w:t>
            </w:r>
          </w:p>
        </w:tc>
        <w:tc>
          <w:tcPr>
            <w:tcW w:w="2354"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Pembangunan dan Pengelolaan Sarana Distribusi Perdagangan</w:t>
            </w:r>
          </w:p>
        </w:tc>
        <w:tc>
          <w:tcPr>
            <w:tcW w:w="1800"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Peningkatan ketersediaan sarana prasarana perdagangan dan pengelolaannya</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73.327.000</w:t>
            </w:r>
            <w:r>
              <w:rPr>
                <w:rFonts w:hint="default" w:ascii="Cambria" w:hAnsi="Cambria" w:cs="Cambria"/>
                <w:b/>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72.022.250</w:t>
            </w:r>
            <w:r>
              <w:rPr>
                <w:rFonts w:hint="default" w:ascii="Cambria" w:hAnsi="Cambria" w:cs="Cambria"/>
                <w:b/>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vAlign w:val="center"/>
          </w:tcPr>
          <w:p>
            <w:pPr>
              <w:spacing w:after="0"/>
              <w:jc w:val="center"/>
              <w:rPr>
                <w:rFonts w:hint="default" w:ascii="Cambria" w:hAnsi="Cambria" w:cs="Cambria"/>
                <w:b/>
                <w:color w:val="000000"/>
                <w:sz w:val="20"/>
                <w:szCs w:val="20"/>
                <w:lang w:val="id-ID"/>
              </w:rPr>
            </w:pPr>
            <w:r>
              <w:rPr>
                <w:rFonts w:hint="default" w:ascii="Cambria" w:hAnsi="Cambria" w:cs="Cambria"/>
                <w:b/>
                <w:color w:val="000000"/>
                <w:sz w:val="20"/>
                <w:szCs w:val="20"/>
              </w:rPr>
              <w:t>9</w:t>
            </w:r>
            <w:r>
              <w:rPr>
                <w:rFonts w:hint="default" w:ascii="Cambria" w:hAnsi="Cambria" w:cs="Cambria"/>
                <w:b/>
                <w:color w:val="000000"/>
                <w:sz w:val="20"/>
                <w:szCs w:val="20"/>
                <w:lang w:val="id-ID"/>
              </w:rPr>
              <w:t>8,22</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Fasilitasi Pengelolaan Sarana Distribusi Perdagangan</w:t>
            </w:r>
          </w:p>
        </w:tc>
        <w:tc>
          <w:tcPr>
            <w:tcW w:w="1800"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Jumlah sarana distribusi perdagangan yang difasilitasi pengelolaannya</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73.327.000</w:t>
            </w:r>
            <w:r>
              <w:rPr>
                <w:rFonts w:hint="default" w:ascii="Cambria" w:hAnsi="Cambria" w:cs="Cambria"/>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72.022.250</w:t>
            </w:r>
            <w:r>
              <w:rPr>
                <w:rFonts w:hint="default" w:ascii="Cambria" w:hAnsi="Cambria" w:cs="Cambria"/>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w:t>
            </w:r>
            <w:r>
              <w:rPr>
                <w:rFonts w:hint="default" w:ascii="Cambria" w:hAnsi="Cambria" w:cs="Cambria"/>
                <w:color w:val="000000"/>
                <w:sz w:val="20"/>
                <w:szCs w:val="20"/>
                <w:lang w:val="id-ID"/>
              </w:rPr>
              <w:t>8,22</w:t>
            </w:r>
          </w:p>
        </w:tc>
      </w:tr>
      <w:tr>
        <w:tblPrEx>
          <w:tblCellMar>
            <w:top w:w="0" w:type="dxa"/>
            <w:left w:w="108" w:type="dxa"/>
            <w:bottom w:w="0" w:type="dxa"/>
            <w:right w:w="108" w:type="dxa"/>
          </w:tblCellMar>
        </w:tblPrEx>
        <w:trPr>
          <w:trHeight w:val="1020" w:hRule="atLeast"/>
        </w:trPr>
        <w:tc>
          <w:tcPr>
            <w:tcW w:w="503" w:type="dxa"/>
            <w:tcBorders>
              <w:top w:val="single" w:color="auto" w:sz="4" w:space="0"/>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5</w:t>
            </w:r>
          </w:p>
        </w:tc>
        <w:tc>
          <w:tcPr>
            <w:tcW w:w="2354"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Pembinaan terhadap Pengelolaan Sarana Distribusi Perdagangan Masyarakat di Wilayah Kerjanya</w:t>
            </w:r>
          </w:p>
        </w:tc>
        <w:tc>
          <w:tcPr>
            <w:tcW w:w="1800"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peningkatan pembinaan terhadap pengelola pasar rakyat di Kabupaten Kepulauan Selayar</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50.000.000</w:t>
            </w:r>
            <w:r>
              <w:rPr>
                <w:rFonts w:hint="default" w:ascii="Cambria" w:hAnsi="Cambria" w:cs="Cambria"/>
                <w:b/>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49.830.000</w:t>
            </w:r>
            <w:r>
              <w:rPr>
                <w:rFonts w:hint="default" w:ascii="Cambria" w:hAnsi="Cambria" w:cs="Cambria"/>
                <w:b/>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rPr>
              <w:t>99,</w:t>
            </w:r>
            <w:r>
              <w:rPr>
                <w:rFonts w:hint="default" w:ascii="Cambria" w:hAnsi="Cambria" w:cs="Cambria"/>
                <w:b/>
                <w:bCs/>
                <w:color w:val="000000"/>
                <w:sz w:val="20"/>
                <w:szCs w:val="20"/>
                <w:lang w:val="id-ID"/>
              </w:rPr>
              <w:t>66</w:t>
            </w:r>
          </w:p>
        </w:tc>
      </w:tr>
      <w:tr>
        <w:tblPrEx>
          <w:tblCellMar>
            <w:top w:w="0" w:type="dxa"/>
            <w:left w:w="108" w:type="dxa"/>
            <w:bottom w:w="0" w:type="dxa"/>
            <w:right w:w="108" w:type="dxa"/>
          </w:tblCellMar>
        </w:tblPrEx>
        <w:trPr>
          <w:trHeight w:val="1020" w:hRule="atLeast"/>
        </w:trPr>
        <w:tc>
          <w:tcPr>
            <w:tcW w:w="503" w:type="dxa"/>
            <w:tcBorders>
              <w:top w:val="nil"/>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Pembinaan dan pengendalian pengelolaan sarana Distribusi Perdagangan</w:t>
            </w:r>
          </w:p>
        </w:tc>
        <w:tc>
          <w:tcPr>
            <w:tcW w:w="1800"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rPr>
              <w:t xml:space="preserve">Jumlah </w:t>
            </w:r>
            <w:r>
              <w:rPr>
                <w:rFonts w:hint="default" w:ascii="Cambria" w:hAnsi="Cambria" w:cs="Cambria"/>
                <w:color w:val="000000"/>
                <w:sz w:val="20"/>
                <w:szCs w:val="20"/>
                <w:lang w:val="id-ID"/>
              </w:rPr>
              <w:t>pengelola pasar rakyat yang dibina dan dikendalikan</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50.000.000</w:t>
            </w:r>
            <w:r>
              <w:rPr>
                <w:rFonts w:hint="default" w:ascii="Cambria" w:hAnsi="Cambria" w:cs="Cambria"/>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49.830.000</w:t>
            </w:r>
            <w:r>
              <w:rPr>
                <w:rFonts w:hint="default" w:ascii="Cambria" w:hAnsi="Cambria" w:cs="Cambria"/>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vAlign w:val="center"/>
          </w:tcPr>
          <w:p>
            <w:pPr>
              <w:spacing w:after="0"/>
              <w:jc w:val="center"/>
              <w:rPr>
                <w:rFonts w:hint="default" w:ascii="Cambria" w:hAnsi="Cambria" w:cs="Cambria"/>
                <w:bCs/>
                <w:color w:val="000000"/>
                <w:sz w:val="20"/>
                <w:szCs w:val="20"/>
                <w:lang w:val="id-ID"/>
              </w:rPr>
            </w:pPr>
            <w:r>
              <w:rPr>
                <w:rFonts w:hint="default" w:ascii="Cambria" w:hAnsi="Cambria" w:cs="Cambria"/>
                <w:bCs/>
                <w:color w:val="000000"/>
                <w:sz w:val="20"/>
                <w:szCs w:val="20"/>
              </w:rPr>
              <w:t>99,</w:t>
            </w:r>
            <w:r>
              <w:rPr>
                <w:rFonts w:hint="default" w:ascii="Cambria" w:hAnsi="Cambria" w:cs="Cambria"/>
                <w:bCs/>
                <w:color w:val="000000"/>
                <w:sz w:val="20"/>
                <w:szCs w:val="20"/>
                <w:lang w:val="id-ID"/>
              </w:rPr>
              <w:t>66</w:t>
            </w:r>
          </w:p>
        </w:tc>
      </w:tr>
      <w:tr>
        <w:tblPrEx>
          <w:tblCellMar>
            <w:top w:w="0" w:type="dxa"/>
            <w:left w:w="108" w:type="dxa"/>
            <w:bottom w:w="0" w:type="dxa"/>
            <w:right w:w="108" w:type="dxa"/>
          </w:tblCellMar>
        </w:tblPrEx>
        <w:trPr>
          <w:trHeight w:val="510" w:hRule="atLeast"/>
        </w:trPr>
        <w:tc>
          <w:tcPr>
            <w:tcW w:w="503" w:type="dxa"/>
            <w:tcBorders>
              <w:top w:val="single" w:color="auto" w:sz="4" w:space="0"/>
              <w:left w:val="single" w:color="auto" w:sz="4" w:space="0"/>
              <w:bottom w:val="nil"/>
              <w:right w:val="nil"/>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6</w:t>
            </w:r>
          </w:p>
        </w:tc>
        <w:tc>
          <w:tcPr>
            <w:tcW w:w="2354" w:type="dxa"/>
            <w:tcBorders>
              <w:top w:val="single" w:color="auto" w:sz="4" w:space="0"/>
              <w:left w:val="single" w:color="auto" w:sz="4" w:space="0"/>
              <w:bottom w:val="single" w:color="auto" w:sz="4" w:space="0"/>
              <w:right w:val="single" w:color="000000"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Menjamin Ketersediaan Barang Kebutuhan Pokok dan Barang Penting di Tingkat Daerah Kabupaten/Kota</w:t>
            </w:r>
          </w:p>
        </w:tc>
        <w:tc>
          <w:tcPr>
            <w:tcW w:w="1800"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peningkatan pembinaan terhadap pengelola pasar rakyat di Kabupaten Kepulauan Selayar</w:t>
            </w:r>
          </w:p>
        </w:tc>
        <w:tc>
          <w:tcPr>
            <w:tcW w:w="2191"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37.290.000</w:t>
            </w:r>
            <w:r>
              <w:rPr>
                <w:rFonts w:hint="default" w:ascii="Cambria" w:hAnsi="Cambria" w:cs="Cambria"/>
                <w:b/>
                <w:bCs/>
                <w:color w:val="000000"/>
                <w:sz w:val="20"/>
                <w:szCs w:val="20"/>
              </w:rPr>
              <w:t xml:space="preserve">,00 </w:t>
            </w:r>
          </w:p>
        </w:tc>
        <w:tc>
          <w:tcPr>
            <w:tcW w:w="1860"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Rp.3</w:t>
            </w:r>
            <w:r>
              <w:rPr>
                <w:rFonts w:hint="default" w:ascii="Cambria" w:hAnsi="Cambria" w:cs="Cambria"/>
                <w:b/>
                <w:bCs/>
                <w:color w:val="000000"/>
                <w:sz w:val="20"/>
                <w:szCs w:val="20"/>
                <w:lang w:val="id-ID"/>
              </w:rPr>
              <w:t>7.290.000</w:t>
            </w:r>
            <w:r>
              <w:rPr>
                <w:rFonts w:hint="default" w:ascii="Cambria" w:hAnsi="Cambria" w:cs="Cambria"/>
                <w:b/>
                <w:bCs/>
                <w:color w:val="000000"/>
                <w:sz w:val="20"/>
                <w:szCs w:val="20"/>
              </w:rPr>
              <w:t xml:space="preserve">,00 </w:t>
            </w:r>
          </w:p>
        </w:tc>
        <w:tc>
          <w:tcPr>
            <w:tcW w:w="840" w:type="dxa"/>
            <w:tcBorders>
              <w:top w:val="single" w:color="auto" w:sz="4" w:space="0"/>
              <w:left w:val="nil"/>
              <w:bottom w:val="single" w:color="auto" w:sz="4" w:space="0"/>
              <w:right w:val="single" w:color="auto" w:sz="4" w:space="0"/>
            </w:tcBorders>
            <w:shd w:val="clear" w:color="auto" w:fill="auto"/>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lang w:val="id-ID"/>
              </w:rPr>
              <w:t>100</w:t>
            </w:r>
          </w:p>
        </w:tc>
      </w:tr>
      <w:tr>
        <w:tblPrEx>
          <w:tblCellMar>
            <w:top w:w="0" w:type="dxa"/>
            <w:left w:w="108" w:type="dxa"/>
            <w:bottom w:w="0" w:type="dxa"/>
            <w:right w:w="108" w:type="dxa"/>
          </w:tblCellMar>
        </w:tblPrEx>
        <w:trPr>
          <w:trHeight w:val="845" w:hRule="atLeast"/>
        </w:trPr>
        <w:tc>
          <w:tcPr>
            <w:tcW w:w="503" w:type="dxa"/>
            <w:tcBorders>
              <w:top w:val="nil"/>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rPr>
              <w:t>Koordinasi dan Sikronisasi Peningkatan Aksebilitas Barang Kebutuhan Pokok dan Barang Penting di Tingkat Agen dan Pasar Rakya</w:t>
            </w:r>
            <w:r>
              <w:rPr>
                <w:rFonts w:hint="default" w:ascii="Cambria" w:hAnsi="Cambria" w:cs="Cambria"/>
                <w:color w:val="000000"/>
                <w:sz w:val="20"/>
                <w:szCs w:val="20"/>
                <w:lang w:val="id-ID"/>
              </w:rPr>
              <w:t>t</w:t>
            </w:r>
          </w:p>
        </w:tc>
        <w:tc>
          <w:tcPr>
            <w:tcW w:w="1800"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 xml:space="preserve">Terlaksananya </w:t>
            </w:r>
            <w:r>
              <w:rPr>
                <w:rFonts w:hint="default" w:ascii="Cambria" w:hAnsi="Cambria" w:cs="Cambria"/>
                <w:color w:val="000000"/>
                <w:sz w:val="20"/>
                <w:szCs w:val="20"/>
              </w:rPr>
              <w:t>Koordinasi dan Sikronisasi Peningkatan Aksebilitas Barang Kebutuhan Pokok dan Barang Penting di Tingkat Agen dan Pasar Rakya</w:t>
            </w:r>
            <w:r>
              <w:rPr>
                <w:rFonts w:hint="default" w:ascii="Cambria" w:hAnsi="Cambria" w:cs="Cambria"/>
                <w:color w:val="000000"/>
                <w:sz w:val="20"/>
                <w:szCs w:val="20"/>
                <w:lang w:val="id-ID"/>
              </w:rPr>
              <w:t>t</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37.290.000</w:t>
            </w:r>
            <w:r>
              <w:rPr>
                <w:rFonts w:hint="default" w:ascii="Cambria" w:hAnsi="Cambria" w:cs="Cambria"/>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Rp.3</w:t>
            </w:r>
            <w:r>
              <w:rPr>
                <w:rFonts w:hint="default" w:ascii="Cambria" w:hAnsi="Cambria" w:cs="Cambria"/>
                <w:bCs/>
                <w:color w:val="000000"/>
                <w:sz w:val="20"/>
                <w:szCs w:val="20"/>
                <w:lang w:val="id-ID"/>
              </w:rPr>
              <w:t>7.290.000</w:t>
            </w:r>
            <w:r>
              <w:rPr>
                <w:rFonts w:hint="default" w:ascii="Cambria" w:hAnsi="Cambria" w:cs="Cambria"/>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vAlign w:val="center"/>
          </w:tcPr>
          <w:p>
            <w:pPr>
              <w:spacing w:after="0"/>
              <w:jc w:val="center"/>
              <w:rPr>
                <w:rFonts w:hint="default" w:ascii="Cambria" w:hAnsi="Cambria" w:cs="Cambria"/>
                <w:bCs/>
                <w:color w:val="000000"/>
                <w:sz w:val="20"/>
                <w:szCs w:val="20"/>
                <w:lang w:val="id-ID"/>
              </w:rPr>
            </w:pPr>
            <w:r>
              <w:rPr>
                <w:rFonts w:hint="default" w:ascii="Cambria" w:hAnsi="Cambria" w:cs="Cambria"/>
                <w:bCs/>
                <w:color w:val="000000"/>
                <w:sz w:val="20"/>
                <w:szCs w:val="20"/>
                <w:lang w:val="id-ID"/>
              </w:rPr>
              <w:t>100</w:t>
            </w:r>
          </w:p>
        </w:tc>
      </w:tr>
      <w:tr>
        <w:tblPrEx>
          <w:tblCellMar>
            <w:top w:w="0" w:type="dxa"/>
            <w:left w:w="108" w:type="dxa"/>
            <w:bottom w:w="0" w:type="dxa"/>
            <w:right w:w="108" w:type="dxa"/>
          </w:tblCellMar>
        </w:tblPrEx>
        <w:trPr>
          <w:trHeight w:val="765" w:hRule="atLeast"/>
        </w:trPr>
        <w:tc>
          <w:tcPr>
            <w:tcW w:w="503" w:type="dxa"/>
            <w:tcBorders>
              <w:top w:val="single" w:color="auto" w:sz="4" w:space="0"/>
              <w:left w:val="single" w:color="auto" w:sz="4" w:space="0"/>
              <w:bottom w:val="nil"/>
              <w:right w:val="single" w:color="auto" w:sz="4" w:space="0"/>
            </w:tcBorders>
            <w:shd w:val="clear" w:color="auto" w:fill="auto"/>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7</w:t>
            </w:r>
          </w:p>
        </w:tc>
        <w:tc>
          <w:tcPr>
            <w:tcW w:w="2354"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Pengendalian Harga dan Stok Barang Kebutuhan Pokok dan Barang Penting di Tingkat Pasar Kabupaten/Kota</w:t>
            </w:r>
          </w:p>
        </w:tc>
        <w:tc>
          <w:tcPr>
            <w:tcW w:w="1800"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Jumlah Barang Kebutuhan Pokok dan Barang Penting yang dikendalikan</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272.070.000</w:t>
            </w:r>
            <w:r>
              <w:rPr>
                <w:rFonts w:hint="default" w:ascii="Cambria" w:hAnsi="Cambria" w:cs="Cambria"/>
                <w:b/>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271.422.200</w:t>
            </w:r>
            <w:r>
              <w:rPr>
                <w:rFonts w:hint="default" w:ascii="Cambria" w:hAnsi="Cambria" w:cs="Cambria"/>
                <w:b/>
                <w:bCs/>
                <w:color w:val="000000"/>
                <w:sz w:val="20"/>
                <w:szCs w:val="20"/>
              </w:rPr>
              <w:t xml:space="preserve">,00 </w:t>
            </w:r>
          </w:p>
        </w:tc>
        <w:tc>
          <w:tcPr>
            <w:tcW w:w="840" w:type="dxa"/>
            <w:tcBorders>
              <w:top w:val="nil"/>
              <w:left w:val="nil"/>
              <w:bottom w:val="nil"/>
              <w:right w:val="single" w:color="auto" w:sz="4" w:space="0"/>
            </w:tcBorders>
            <w:shd w:val="clear" w:color="auto" w:fill="auto"/>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rPr>
              <w:t>99,</w:t>
            </w:r>
            <w:r>
              <w:rPr>
                <w:rFonts w:hint="default" w:ascii="Cambria" w:hAnsi="Cambria" w:cs="Cambria"/>
                <w:b/>
                <w:bCs/>
                <w:color w:val="000000"/>
                <w:sz w:val="20"/>
                <w:szCs w:val="20"/>
                <w:lang w:val="id-ID"/>
              </w:rPr>
              <w:t>76</w:t>
            </w:r>
          </w:p>
        </w:tc>
      </w:tr>
      <w:tr>
        <w:tblPrEx>
          <w:tblCellMar>
            <w:top w:w="0" w:type="dxa"/>
            <w:left w:w="108" w:type="dxa"/>
            <w:bottom w:w="0" w:type="dxa"/>
            <w:right w:w="108" w:type="dxa"/>
          </w:tblCellMar>
        </w:tblPrEx>
        <w:trPr>
          <w:trHeight w:val="1020" w:hRule="atLeast"/>
        </w:trPr>
        <w:tc>
          <w:tcPr>
            <w:tcW w:w="503" w:type="dxa"/>
            <w:tcBorders>
              <w:top w:val="nil"/>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tcBorders>
              <w:top w:val="single" w:color="auto" w:sz="4" w:space="0"/>
              <w:left w:val="nil"/>
              <w:bottom w:val="nil"/>
              <w:right w:val="single" w:color="000000"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Pemantauan Harga dan Stok Barang Kebutuhan Pokok dan Barang Penting pada pelaku usaha distribusi barang dalam 1 (satu) Kabupaten/Kota</w:t>
            </w:r>
          </w:p>
        </w:tc>
        <w:tc>
          <w:tcPr>
            <w:tcW w:w="1800" w:type="dxa"/>
            <w:tcBorders>
              <w:top w:val="nil"/>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Terlaksananya pengendalian harga barang dan stok barang kebutuhan pokok dan barang penting</w:t>
            </w:r>
          </w:p>
        </w:tc>
        <w:tc>
          <w:tcPr>
            <w:tcW w:w="2191" w:type="dxa"/>
            <w:tcBorders>
              <w:top w:val="nil"/>
              <w:left w:val="nil"/>
              <w:bottom w:val="nil"/>
              <w:right w:val="single" w:color="auto" w:sz="4" w:space="0"/>
            </w:tcBorders>
            <w:shd w:val="clear" w:color="auto" w:fill="auto"/>
            <w:noWrap/>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102.000.000</w:t>
            </w:r>
            <w:r>
              <w:rPr>
                <w:rFonts w:hint="default" w:ascii="Cambria" w:hAnsi="Cambria" w:cs="Cambria"/>
                <w:color w:val="000000"/>
                <w:sz w:val="20"/>
                <w:szCs w:val="20"/>
              </w:rPr>
              <w:t xml:space="preserve">,00 </w:t>
            </w:r>
          </w:p>
        </w:tc>
        <w:tc>
          <w:tcPr>
            <w:tcW w:w="1860" w:type="dxa"/>
            <w:tcBorders>
              <w:top w:val="nil"/>
              <w:left w:val="nil"/>
              <w:bottom w:val="nil"/>
              <w:right w:val="nil"/>
            </w:tcBorders>
            <w:shd w:val="clear" w:color="auto" w:fill="auto"/>
            <w:noWrap/>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101.534.000</w:t>
            </w:r>
            <w:r>
              <w:rPr>
                <w:rFonts w:hint="default" w:ascii="Cambria" w:hAnsi="Cambria" w:cs="Cambria"/>
                <w:color w:val="000000"/>
                <w:sz w:val="20"/>
                <w:szCs w:val="20"/>
              </w:rPr>
              <w:t xml:space="preserve">,00 </w:t>
            </w:r>
          </w:p>
        </w:tc>
        <w:tc>
          <w:tcPr>
            <w:tcW w:w="840"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rPr>
              <w:t>99,</w:t>
            </w:r>
            <w:r>
              <w:rPr>
                <w:rFonts w:hint="default" w:ascii="Cambria" w:hAnsi="Cambria" w:cs="Cambria"/>
                <w:b/>
                <w:bCs/>
                <w:color w:val="000000"/>
                <w:sz w:val="20"/>
                <w:szCs w:val="20"/>
                <w:lang w:val="id-ID"/>
              </w:rPr>
              <w:t>54</w:t>
            </w:r>
          </w:p>
        </w:tc>
      </w:tr>
      <w:tr>
        <w:tblPrEx>
          <w:tblCellMar>
            <w:top w:w="0" w:type="dxa"/>
            <w:left w:w="108" w:type="dxa"/>
            <w:bottom w:w="0" w:type="dxa"/>
            <w:right w:w="108" w:type="dxa"/>
          </w:tblCellMar>
        </w:tblPrEx>
        <w:trPr>
          <w:trHeight w:val="1020" w:hRule="atLeast"/>
        </w:trPr>
        <w:tc>
          <w:tcPr>
            <w:tcW w:w="503" w:type="dxa"/>
            <w:tcBorders>
              <w:top w:val="nil"/>
              <w:left w:val="single" w:color="auto" w:sz="4" w:space="0"/>
              <w:bottom w:val="nil"/>
              <w:right w:val="nil"/>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tcBorders>
              <w:top w:val="single" w:color="auto" w:sz="4" w:space="0"/>
              <w:left w:val="single" w:color="auto" w:sz="4" w:space="0"/>
              <w:bottom w:val="nil"/>
              <w:right w:val="single" w:color="000000"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Pemantauan Harga dan Stok Barang Kebutuhan Pokok dan Barang Penting pada pasar rakyat yang terintegrasi dalam sistem informasi perdagangan</w:t>
            </w:r>
          </w:p>
        </w:tc>
        <w:tc>
          <w:tcPr>
            <w:tcW w:w="1800" w:type="dxa"/>
            <w:tcBorders>
              <w:top w:val="nil"/>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Jumlah barang yang dipantau dan terintegrasi dalam sistem informasi perdagangan</w:t>
            </w:r>
          </w:p>
        </w:tc>
        <w:tc>
          <w:tcPr>
            <w:tcW w:w="2191" w:type="dxa"/>
            <w:tcBorders>
              <w:top w:val="single" w:color="auto" w:sz="4" w:space="0"/>
              <w:left w:val="nil"/>
              <w:bottom w:val="single" w:color="auto" w:sz="4" w:space="0"/>
              <w:right w:val="single" w:color="auto" w:sz="4" w:space="0"/>
            </w:tcBorders>
            <w:shd w:val="clear" w:color="auto" w:fill="auto"/>
            <w:noWrap/>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50.200.000</w:t>
            </w:r>
            <w:r>
              <w:rPr>
                <w:rFonts w:hint="default" w:ascii="Cambria" w:hAnsi="Cambria" w:cs="Cambria"/>
                <w:color w:val="000000"/>
                <w:sz w:val="20"/>
                <w:szCs w:val="20"/>
              </w:rPr>
              <w:t xml:space="preserve">,00 </w:t>
            </w:r>
          </w:p>
        </w:tc>
        <w:tc>
          <w:tcPr>
            <w:tcW w:w="1860" w:type="dxa"/>
            <w:tcBorders>
              <w:top w:val="single" w:color="auto" w:sz="4" w:space="0"/>
              <w:left w:val="nil"/>
              <w:bottom w:val="single" w:color="auto" w:sz="4" w:space="0"/>
              <w:right w:val="single" w:color="auto" w:sz="4" w:space="0"/>
            </w:tcBorders>
            <w:shd w:val="clear" w:color="auto" w:fill="auto"/>
            <w:noWrap/>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50.018.200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rPr>
              <w:t>99,</w:t>
            </w:r>
            <w:r>
              <w:rPr>
                <w:rFonts w:hint="default" w:ascii="Cambria" w:hAnsi="Cambria" w:cs="Cambria"/>
                <w:b/>
                <w:bCs/>
                <w:color w:val="000000"/>
                <w:sz w:val="20"/>
                <w:szCs w:val="20"/>
                <w:lang w:val="id-ID"/>
              </w:rPr>
              <w:t>64</w:t>
            </w:r>
          </w:p>
        </w:tc>
      </w:tr>
      <w:tr>
        <w:tblPrEx>
          <w:tblCellMar>
            <w:top w:w="0" w:type="dxa"/>
            <w:left w:w="108" w:type="dxa"/>
            <w:bottom w:w="0" w:type="dxa"/>
            <w:right w:w="108" w:type="dxa"/>
          </w:tblCellMar>
        </w:tblPrEx>
        <w:trPr>
          <w:trHeight w:val="1020" w:hRule="atLeast"/>
        </w:trPr>
        <w:tc>
          <w:tcPr>
            <w:tcW w:w="503" w:type="dxa"/>
            <w:tcBorders>
              <w:top w:val="nil"/>
              <w:left w:val="single" w:color="auto" w:sz="4" w:space="0"/>
              <w:bottom w:val="single" w:color="auto" w:sz="4" w:space="0"/>
              <w:right w:val="nil"/>
            </w:tcBorders>
            <w:shd w:val="clear" w:color="auto" w:fill="auto"/>
            <w:noWrap/>
            <w:vAlign w:val="center"/>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000000"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Pelaksanaan Operasi Pasar Reguler dan Pasar Khusus yang Berdampak dalam 1 (satu) Kabupaten/Kota</w:t>
            </w:r>
          </w:p>
        </w:tc>
        <w:tc>
          <w:tcPr>
            <w:tcW w:w="1800" w:type="dxa"/>
            <w:tcBorders>
              <w:top w:val="nil"/>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peningkatan pelaksanaan operasi pasar reguler dan pasar khusus yang berdampak dalam 1 (satu) kabupaten/kota</w:t>
            </w:r>
          </w:p>
        </w:tc>
        <w:tc>
          <w:tcPr>
            <w:tcW w:w="2191" w:type="dxa"/>
            <w:tcBorders>
              <w:top w:val="single" w:color="auto" w:sz="4" w:space="0"/>
              <w:left w:val="nil"/>
              <w:bottom w:val="single" w:color="auto" w:sz="4" w:space="0"/>
              <w:right w:val="single" w:color="auto" w:sz="4" w:space="0"/>
            </w:tcBorders>
            <w:shd w:val="clear" w:color="auto" w:fill="auto"/>
            <w:noWrap/>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Rp.119.870.000,00</w:t>
            </w:r>
          </w:p>
        </w:tc>
        <w:tc>
          <w:tcPr>
            <w:tcW w:w="1860" w:type="dxa"/>
            <w:tcBorders>
              <w:top w:val="single" w:color="auto" w:sz="4" w:space="0"/>
              <w:left w:val="nil"/>
              <w:bottom w:val="single" w:color="auto" w:sz="4" w:space="0"/>
              <w:right w:val="single" w:color="auto" w:sz="4" w:space="0"/>
            </w:tcBorders>
            <w:shd w:val="clear" w:color="auto" w:fill="auto"/>
            <w:noWrap/>
            <w:vAlign w:val="center"/>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Rp.119.870.000,00</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lang w:val="id-ID"/>
              </w:rPr>
              <w:t>100</w:t>
            </w:r>
          </w:p>
        </w:tc>
      </w:tr>
      <w:tr>
        <w:tblPrEx>
          <w:tblCellMar>
            <w:top w:w="0" w:type="dxa"/>
            <w:left w:w="108" w:type="dxa"/>
            <w:bottom w:w="0" w:type="dxa"/>
            <w:right w:w="108" w:type="dxa"/>
          </w:tblCellMar>
        </w:tblPrEx>
        <w:trPr>
          <w:trHeight w:val="1020" w:hRule="atLeast"/>
        </w:trPr>
        <w:tc>
          <w:tcPr>
            <w:tcW w:w="503"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8</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Penyelenggaraan Promosi Dagang Melalui Pameran Dagang dan Misi Dagang Bagi Produk Ekspor Unggulan yang terdapat pada 1 (satu) Daerah Kabupaten/Kota</w:t>
            </w:r>
          </w:p>
        </w:tc>
        <w:tc>
          <w:tcPr>
            <w:tcW w:w="1800"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peningkatan usaha produk ekspor unggulan Kabupaten Kepulauan Selayar</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102.760.000</w:t>
            </w:r>
            <w:r>
              <w:rPr>
                <w:rFonts w:hint="default" w:ascii="Cambria" w:hAnsi="Cambria" w:cs="Cambria"/>
                <w:b/>
                <w:bCs/>
                <w:color w:val="000000"/>
                <w:sz w:val="20"/>
                <w:szCs w:val="20"/>
              </w:rPr>
              <w:t xml:space="preserve">,00 </w:t>
            </w:r>
          </w:p>
        </w:tc>
        <w:tc>
          <w:tcPr>
            <w:tcW w:w="186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102.672.902</w:t>
            </w:r>
            <w:r>
              <w:rPr>
                <w:rFonts w:hint="default" w:ascii="Cambria" w:hAnsi="Cambria" w:cs="Cambria"/>
                <w:b/>
                <w:bCs/>
                <w:color w:val="000000"/>
                <w:sz w:val="20"/>
                <w:szCs w:val="20"/>
              </w:rPr>
              <w:t xml:space="preserve">,00 </w:t>
            </w:r>
          </w:p>
        </w:tc>
        <w:tc>
          <w:tcPr>
            <w:tcW w:w="840"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lang w:val="id-ID"/>
              </w:rPr>
              <w:t>99,92</w:t>
            </w:r>
          </w:p>
        </w:tc>
      </w:tr>
      <w:tr>
        <w:tblPrEx>
          <w:tblCellMar>
            <w:top w:w="0" w:type="dxa"/>
            <w:left w:w="108" w:type="dxa"/>
            <w:bottom w:w="0" w:type="dxa"/>
            <w:right w:w="108" w:type="dxa"/>
          </w:tblCellMar>
        </w:tblPrEx>
        <w:trPr>
          <w:trHeight w:val="765" w:hRule="atLeast"/>
        </w:trPr>
        <w:tc>
          <w:tcPr>
            <w:tcW w:w="503"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tcBorders>
              <w:top w:val="single" w:color="auto" w:sz="4" w:space="0"/>
              <w:left w:val="nil"/>
              <w:bottom w:val="single" w:color="auto" w:sz="4" w:space="0"/>
              <w:right w:val="single" w:color="auto" w:sz="4" w:space="0"/>
            </w:tcBorders>
            <w:shd w:val="clear" w:color="auto" w:fill="auto"/>
            <w:noWrap/>
          </w:tcPr>
          <w:p>
            <w:pPr>
              <w:spacing w:after="0"/>
              <w:rPr>
                <w:rFonts w:hint="default" w:ascii="Cambria" w:hAnsi="Cambria" w:cs="Cambria"/>
                <w:color w:val="000000"/>
                <w:sz w:val="20"/>
                <w:szCs w:val="20"/>
              </w:rPr>
            </w:pPr>
            <w:r>
              <w:rPr>
                <w:rFonts w:hint="default" w:ascii="Cambria" w:hAnsi="Cambria" w:cs="Cambria"/>
                <w:color w:val="000000"/>
                <w:sz w:val="20"/>
                <w:szCs w:val="20"/>
              </w:rPr>
              <w:t>Misi Dagang Bagi Produk Ekspor Unggulan</w:t>
            </w:r>
          </w:p>
        </w:tc>
        <w:tc>
          <w:tcPr>
            <w:tcW w:w="1800" w:type="dxa"/>
            <w:tcBorders>
              <w:top w:val="single" w:color="auto" w:sz="4" w:space="0"/>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 xml:space="preserve">Peningkatan transaksi </w:t>
            </w:r>
          </w:p>
        </w:tc>
        <w:tc>
          <w:tcPr>
            <w:tcW w:w="2191"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102.760.000</w:t>
            </w:r>
            <w:r>
              <w:rPr>
                <w:rFonts w:hint="default" w:ascii="Cambria" w:hAnsi="Cambria" w:cs="Cambria"/>
                <w:bCs/>
                <w:color w:val="000000"/>
                <w:sz w:val="20"/>
                <w:szCs w:val="20"/>
              </w:rPr>
              <w:t xml:space="preserve">,00 </w:t>
            </w:r>
          </w:p>
        </w:tc>
        <w:tc>
          <w:tcPr>
            <w:tcW w:w="1860"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102.672.902</w:t>
            </w:r>
            <w:r>
              <w:rPr>
                <w:rFonts w:hint="default" w:ascii="Cambria" w:hAnsi="Cambria" w:cs="Cambria"/>
                <w:bCs/>
                <w:color w:val="000000"/>
                <w:sz w:val="20"/>
                <w:szCs w:val="20"/>
              </w:rPr>
              <w:t xml:space="preserve">,00 </w:t>
            </w:r>
          </w:p>
        </w:tc>
        <w:tc>
          <w:tcPr>
            <w:tcW w:w="840" w:type="dxa"/>
            <w:tcBorders>
              <w:top w:val="single" w:color="auto" w:sz="4" w:space="0"/>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Cs/>
                <w:color w:val="000000"/>
                <w:sz w:val="20"/>
                <w:szCs w:val="20"/>
                <w:lang w:val="id-ID"/>
              </w:rPr>
            </w:pPr>
            <w:r>
              <w:rPr>
                <w:rFonts w:hint="default" w:ascii="Cambria" w:hAnsi="Cambria" w:cs="Cambria"/>
                <w:bCs/>
                <w:color w:val="000000"/>
                <w:sz w:val="20"/>
                <w:szCs w:val="20"/>
                <w:lang w:val="id-ID"/>
              </w:rPr>
              <w:t>99,92</w:t>
            </w:r>
          </w:p>
        </w:tc>
      </w:tr>
      <w:tr>
        <w:tblPrEx>
          <w:tblCellMar>
            <w:top w:w="0" w:type="dxa"/>
            <w:left w:w="108" w:type="dxa"/>
            <w:bottom w:w="0" w:type="dxa"/>
            <w:right w:w="108" w:type="dxa"/>
          </w:tblCellMar>
        </w:tblPrEx>
        <w:trPr>
          <w:trHeight w:val="765" w:hRule="atLeast"/>
        </w:trPr>
        <w:tc>
          <w:tcPr>
            <w:tcW w:w="503" w:type="dxa"/>
            <w:tcBorders>
              <w:top w:val="single" w:color="auto" w:sz="4" w:space="0"/>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p>
        </w:tc>
        <w:tc>
          <w:tcPr>
            <w:tcW w:w="2354" w:type="dxa"/>
            <w:tcBorders>
              <w:top w:val="single" w:color="auto" w:sz="4" w:space="0"/>
              <w:left w:val="nil"/>
              <w:bottom w:val="single" w:color="auto" w:sz="4" w:space="0"/>
              <w:right w:val="single" w:color="auto" w:sz="4" w:space="0"/>
            </w:tcBorders>
            <w:shd w:val="clear" w:color="auto" w:fill="auto"/>
            <w:noWrap/>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Pelaksanaan Metrologi Legal Berupa Tera, Tera Ulang dan Pengawasan</w:t>
            </w:r>
          </w:p>
        </w:tc>
        <w:tc>
          <w:tcPr>
            <w:tcW w:w="180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lang w:val="id-ID"/>
              </w:rPr>
            </w:pPr>
            <w:r>
              <w:rPr>
                <w:rFonts w:hint="default" w:ascii="Cambria" w:hAnsi="Cambria" w:cs="Cambria"/>
                <w:b/>
                <w:bCs/>
                <w:color w:val="000000"/>
                <w:sz w:val="20"/>
                <w:szCs w:val="20"/>
                <w:lang w:val="id-ID"/>
              </w:rPr>
              <w:t>Persentase alat UTTP dengan tanda tera sah yang berlaku</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Rp.1</w:t>
            </w:r>
            <w:r>
              <w:rPr>
                <w:rFonts w:hint="default" w:ascii="Cambria" w:hAnsi="Cambria" w:cs="Cambria"/>
                <w:b/>
                <w:bCs/>
                <w:color w:val="000000"/>
                <w:sz w:val="20"/>
                <w:szCs w:val="20"/>
                <w:lang w:val="id-ID"/>
              </w:rPr>
              <w:t>23.581.500</w:t>
            </w:r>
            <w:r>
              <w:rPr>
                <w:rFonts w:hint="default" w:ascii="Cambria" w:hAnsi="Cambria" w:cs="Cambria"/>
                <w:b/>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113.565.400</w:t>
            </w:r>
            <w:r>
              <w:rPr>
                <w:rFonts w:hint="default" w:ascii="Cambria" w:hAnsi="Cambria" w:cs="Cambria"/>
                <w:b/>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lang w:val="id-ID"/>
              </w:rPr>
              <w:t>91,90</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9</w:t>
            </w:r>
          </w:p>
        </w:tc>
        <w:tc>
          <w:tcPr>
            <w:tcW w:w="2354" w:type="dxa"/>
            <w:tcBorders>
              <w:top w:val="single" w:color="auto" w:sz="4" w:space="0"/>
              <w:left w:val="nil"/>
              <w:bottom w:val="single" w:color="auto" w:sz="4" w:space="0"/>
              <w:right w:val="single" w:color="auto" w:sz="4" w:space="0"/>
            </w:tcBorders>
            <w:shd w:val="clear" w:color="auto" w:fill="auto"/>
            <w:noWrap/>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Pelaksanaan Metrologi Legal Berupa Tera, Tera Ulang </w:t>
            </w:r>
          </w:p>
        </w:tc>
        <w:tc>
          <w:tcPr>
            <w:tcW w:w="1800" w:type="dxa"/>
            <w:tcBorders>
              <w:top w:val="nil"/>
              <w:left w:val="nil"/>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Alat UTTP bertanda tera sah yang berlaku</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25.968.500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24.620.400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94,81</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p>
        </w:tc>
        <w:tc>
          <w:tcPr>
            <w:tcW w:w="2354" w:type="dxa"/>
            <w:tcBorders>
              <w:top w:val="single" w:color="auto" w:sz="4" w:space="0"/>
              <w:left w:val="nil"/>
              <w:bottom w:val="single" w:color="auto" w:sz="4" w:space="0"/>
              <w:right w:val="single" w:color="auto" w:sz="4" w:space="0"/>
            </w:tcBorders>
            <w:shd w:val="clear" w:color="auto" w:fill="auto"/>
            <w:noWrap/>
          </w:tcPr>
          <w:p>
            <w:pPr>
              <w:spacing w:after="0"/>
              <w:rPr>
                <w:rFonts w:hint="default" w:ascii="Cambria" w:hAnsi="Cambria" w:cs="Cambria"/>
                <w:color w:val="000000"/>
                <w:sz w:val="20"/>
                <w:szCs w:val="20"/>
              </w:rPr>
            </w:pPr>
            <w:r>
              <w:rPr>
                <w:rFonts w:hint="default" w:ascii="Cambria" w:hAnsi="Cambria" w:cs="Cambria"/>
                <w:color w:val="000000"/>
                <w:sz w:val="20"/>
                <w:szCs w:val="20"/>
              </w:rPr>
              <w:t>Pengawasan/penyuluhan metrologi legal</w:t>
            </w:r>
          </w:p>
        </w:tc>
        <w:tc>
          <w:tcPr>
            <w:tcW w:w="180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Alat UTTP yang layak pakai dan BDKT yang baik</w:t>
            </w:r>
          </w:p>
        </w:tc>
        <w:tc>
          <w:tcPr>
            <w:tcW w:w="2191"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97.613.000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88.945.000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91,12</w:t>
            </w:r>
          </w:p>
        </w:tc>
      </w:tr>
      <w:tr>
        <w:tblPrEx>
          <w:tblCellMar>
            <w:top w:w="0" w:type="dxa"/>
            <w:left w:w="108" w:type="dxa"/>
            <w:bottom w:w="0" w:type="dxa"/>
            <w:right w:w="108" w:type="dxa"/>
          </w:tblCellMar>
        </w:tblPrEx>
        <w:trPr>
          <w:trHeight w:val="1020" w:hRule="atLeast"/>
        </w:trPr>
        <w:tc>
          <w:tcPr>
            <w:tcW w:w="503" w:type="dxa"/>
            <w:tcBorders>
              <w:top w:val="single" w:color="auto" w:sz="4" w:space="0"/>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Pelaksanaan Promosi, Pemasaran dan Peningkatan Penggunaan Produk Dalam Negeri</w:t>
            </w:r>
          </w:p>
        </w:tc>
        <w:tc>
          <w:tcPr>
            <w:tcW w:w="1800" w:type="dxa"/>
            <w:tcBorders>
              <w:top w:val="nil"/>
              <w:left w:val="nil"/>
              <w:bottom w:val="single" w:color="auto" w:sz="4" w:space="0"/>
              <w:right w:val="nil"/>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peningkatan promosi dan penggunaan produk dalam negeri</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23.9</w:t>
            </w:r>
            <w:r>
              <w:rPr>
                <w:rFonts w:hint="default" w:ascii="Cambria" w:hAnsi="Cambria" w:cs="Cambria"/>
                <w:b/>
                <w:bCs/>
                <w:color w:val="000000"/>
                <w:sz w:val="20"/>
                <w:szCs w:val="20"/>
                <w:lang w:val="en-US"/>
              </w:rPr>
              <w:t>4</w:t>
            </w:r>
            <w:r>
              <w:rPr>
                <w:rFonts w:hint="default" w:ascii="Cambria" w:hAnsi="Cambria" w:cs="Cambria"/>
                <w:b/>
                <w:bCs/>
                <w:color w:val="000000"/>
                <w:sz w:val="20"/>
                <w:szCs w:val="20"/>
                <w:lang w:val="id-ID"/>
              </w:rPr>
              <w:t>0.000</w:t>
            </w:r>
            <w:r>
              <w:rPr>
                <w:rFonts w:hint="default" w:ascii="Cambria" w:hAnsi="Cambria" w:cs="Cambria"/>
                <w:b/>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23.599.200</w:t>
            </w:r>
            <w:r>
              <w:rPr>
                <w:rFonts w:hint="default" w:ascii="Cambria" w:hAnsi="Cambria" w:cs="Cambria"/>
                <w:b/>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rPr>
              <w:t>9</w:t>
            </w:r>
            <w:r>
              <w:rPr>
                <w:rFonts w:hint="default" w:ascii="Cambria" w:hAnsi="Cambria" w:cs="Cambria"/>
                <w:b/>
                <w:bCs/>
                <w:color w:val="000000"/>
                <w:sz w:val="20"/>
                <w:szCs w:val="20"/>
                <w:lang w:val="id-ID"/>
              </w:rPr>
              <w:t>8,58</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Peningkatan Sistem dan jaringan informasi perdagangan</w:t>
            </w:r>
          </w:p>
        </w:tc>
        <w:tc>
          <w:tcPr>
            <w:tcW w:w="1800" w:type="dxa"/>
            <w:tcBorders>
              <w:top w:val="nil"/>
              <w:left w:val="nil"/>
              <w:bottom w:val="single" w:color="auto" w:sz="4" w:space="0"/>
              <w:right w:val="nil"/>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Terupdatenya sistem informasi kebutuhan barang/produk melalui sistem jaringan informasi perdagangan</w:t>
            </w:r>
            <w:r>
              <w:rPr>
                <w:rFonts w:hint="default" w:ascii="Cambria" w:hAnsi="Cambria" w:cs="Cambria"/>
                <w:color w:val="000000"/>
                <w:sz w:val="20"/>
                <w:szCs w:val="20"/>
              </w:rPr>
              <w:t xml:space="preserve"> </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23.9</w:t>
            </w:r>
            <w:r>
              <w:rPr>
                <w:rFonts w:hint="default" w:ascii="Cambria" w:hAnsi="Cambria" w:cs="Cambria"/>
                <w:bCs/>
                <w:color w:val="000000"/>
                <w:sz w:val="20"/>
                <w:szCs w:val="20"/>
                <w:lang w:val="en-US"/>
              </w:rPr>
              <w:t>4</w:t>
            </w:r>
            <w:r>
              <w:rPr>
                <w:rFonts w:hint="default" w:ascii="Cambria" w:hAnsi="Cambria" w:cs="Cambria"/>
                <w:bCs/>
                <w:color w:val="000000"/>
                <w:sz w:val="20"/>
                <w:szCs w:val="20"/>
                <w:lang w:val="id-ID"/>
              </w:rPr>
              <w:t>0.000</w:t>
            </w:r>
            <w:r>
              <w:rPr>
                <w:rFonts w:hint="default" w:ascii="Cambria" w:hAnsi="Cambria" w:cs="Cambria"/>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23.599.200</w:t>
            </w:r>
            <w:r>
              <w:rPr>
                <w:rFonts w:hint="default" w:ascii="Cambria" w:hAnsi="Cambria" w:cs="Cambria"/>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Cs/>
                <w:color w:val="000000"/>
                <w:sz w:val="20"/>
                <w:szCs w:val="20"/>
                <w:lang w:val="id-ID"/>
              </w:rPr>
            </w:pPr>
            <w:r>
              <w:rPr>
                <w:rFonts w:hint="default" w:ascii="Cambria" w:hAnsi="Cambria" w:cs="Cambria"/>
                <w:bCs/>
                <w:color w:val="000000"/>
                <w:sz w:val="20"/>
                <w:szCs w:val="20"/>
              </w:rPr>
              <w:t>9</w:t>
            </w:r>
            <w:r>
              <w:rPr>
                <w:rFonts w:hint="default" w:ascii="Cambria" w:hAnsi="Cambria" w:cs="Cambria"/>
                <w:bCs/>
                <w:color w:val="000000"/>
                <w:sz w:val="20"/>
                <w:szCs w:val="20"/>
                <w:lang w:val="id-ID"/>
              </w:rPr>
              <w:t>8,58</w:t>
            </w:r>
          </w:p>
        </w:tc>
      </w:tr>
      <w:tr>
        <w:tblPrEx>
          <w:tblCellMar>
            <w:top w:w="0" w:type="dxa"/>
            <w:left w:w="108" w:type="dxa"/>
            <w:bottom w:w="0" w:type="dxa"/>
            <w:right w:w="108" w:type="dxa"/>
          </w:tblCellMar>
        </w:tblPrEx>
        <w:trPr>
          <w:trHeight w:val="1020" w:hRule="atLeast"/>
        </w:trPr>
        <w:tc>
          <w:tcPr>
            <w:tcW w:w="503" w:type="dxa"/>
            <w:tcBorders>
              <w:top w:val="single" w:color="auto" w:sz="4" w:space="0"/>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11</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Penilaian Kesehatan Koperasi Simpan Pinjam/ Unit Simpan Pinjam Koperasi yang Wilayah keanggotaannya dalam 1 (satu) Daerah Kabupaten/Kota</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Koperasi yang sehat Organisasi, Sehat Usaha dan Sehat Administrasi</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48.578.000</w:t>
            </w:r>
            <w:r>
              <w:rPr>
                <w:rFonts w:hint="default" w:ascii="Cambria" w:hAnsi="Cambria" w:cs="Cambria"/>
                <w:b/>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48.413.000</w:t>
            </w:r>
            <w:r>
              <w:rPr>
                <w:rFonts w:hint="default" w:ascii="Cambria" w:hAnsi="Cambria" w:cs="Cambria"/>
                <w:b/>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lang w:val="id-ID"/>
              </w:rPr>
              <w:t>99,66</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single" w:color="auto" w:sz="4" w:space="0"/>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Penghargaan Kesehatan KSP/USP Koperasi Kewenangan Kabupaten/Kota</w:t>
            </w:r>
          </w:p>
        </w:tc>
        <w:tc>
          <w:tcPr>
            <w:tcW w:w="1800" w:type="dxa"/>
            <w:tcBorders>
              <w:top w:val="nil"/>
              <w:left w:val="nil"/>
              <w:bottom w:val="single" w:color="auto" w:sz="4" w:space="0"/>
              <w:right w:val="nil"/>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Jumlah koperasi yang ber-RAT</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48.578.000</w:t>
            </w:r>
            <w:r>
              <w:rPr>
                <w:rFonts w:hint="default" w:ascii="Cambria" w:hAnsi="Cambria" w:cs="Cambria"/>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48.413.000</w:t>
            </w:r>
            <w:r>
              <w:rPr>
                <w:rFonts w:hint="default" w:ascii="Cambria" w:hAnsi="Cambria" w:cs="Cambria"/>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Cs/>
                <w:color w:val="000000"/>
                <w:sz w:val="20"/>
                <w:szCs w:val="20"/>
                <w:lang w:val="id-ID"/>
              </w:rPr>
            </w:pPr>
            <w:r>
              <w:rPr>
                <w:rFonts w:hint="default" w:ascii="Cambria" w:hAnsi="Cambria" w:cs="Cambria"/>
                <w:bCs/>
                <w:color w:val="000000"/>
                <w:sz w:val="20"/>
                <w:szCs w:val="20"/>
                <w:lang w:val="id-ID"/>
              </w:rPr>
              <w:t>99,66</w:t>
            </w:r>
          </w:p>
        </w:tc>
      </w:tr>
      <w:tr>
        <w:tblPrEx>
          <w:tblCellMar>
            <w:top w:w="0" w:type="dxa"/>
            <w:left w:w="108" w:type="dxa"/>
            <w:bottom w:w="0" w:type="dxa"/>
            <w:right w:w="108" w:type="dxa"/>
          </w:tblCellMar>
        </w:tblPrEx>
        <w:trPr>
          <w:trHeight w:val="1020" w:hRule="atLeast"/>
        </w:trPr>
        <w:tc>
          <w:tcPr>
            <w:tcW w:w="503"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12</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Pendidikan dan Latihan Perkoperasian bagi Koperasi yang Wilayah Keanggotaannya dalam Daerah Kabupaten/Kota</w:t>
            </w:r>
          </w:p>
        </w:tc>
        <w:tc>
          <w:tcPr>
            <w:tcW w:w="180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koperasi yang ber-RAT</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163.640.000</w:t>
            </w:r>
            <w:r>
              <w:rPr>
                <w:rFonts w:hint="default" w:ascii="Cambria" w:hAnsi="Cambria" w:cs="Cambria"/>
                <w:b/>
                <w:bCs/>
                <w:color w:val="000000"/>
                <w:sz w:val="20"/>
                <w:szCs w:val="20"/>
              </w:rPr>
              <w:t xml:space="preserve">,00 </w:t>
            </w:r>
          </w:p>
        </w:tc>
        <w:tc>
          <w:tcPr>
            <w:tcW w:w="186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163.640.000</w:t>
            </w:r>
            <w:r>
              <w:rPr>
                <w:rFonts w:hint="default" w:ascii="Cambria" w:hAnsi="Cambria" w:cs="Cambria"/>
                <w:b/>
                <w:bCs/>
                <w:color w:val="000000"/>
                <w:sz w:val="20"/>
                <w:szCs w:val="20"/>
              </w:rPr>
              <w:t>,00</w:t>
            </w:r>
          </w:p>
        </w:tc>
        <w:tc>
          <w:tcPr>
            <w:tcW w:w="840"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100</w:t>
            </w:r>
          </w:p>
        </w:tc>
      </w:tr>
      <w:tr>
        <w:tblPrEx>
          <w:tblCellMar>
            <w:top w:w="0" w:type="dxa"/>
            <w:left w:w="108" w:type="dxa"/>
            <w:bottom w:w="0" w:type="dxa"/>
            <w:right w:w="108" w:type="dxa"/>
          </w:tblCellMar>
        </w:tblPrEx>
        <w:trPr>
          <w:trHeight w:val="1785" w:hRule="atLeast"/>
        </w:trPr>
        <w:tc>
          <w:tcPr>
            <w:tcW w:w="503" w:type="dxa"/>
            <w:tcBorders>
              <w:top w:val="single" w:color="auto" w:sz="4" w:space="0"/>
              <w:left w:val="single" w:color="auto" w:sz="4" w:space="0"/>
              <w:bottom w:val="nil"/>
              <w:right w:val="nil"/>
            </w:tcBorders>
            <w:shd w:val="clear" w:color="auto" w:fill="auto"/>
            <w:noWrap/>
            <w:vAlign w:val="bottom"/>
          </w:tcPr>
          <w:p>
            <w:pPr>
              <w:spacing w:after="0"/>
              <w:jc w:val="center"/>
              <w:rPr>
                <w:rFonts w:hint="default" w:ascii="Cambria" w:hAnsi="Cambria" w:cs="Cambria"/>
                <w:b/>
                <w:bCs/>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Peningkatan pemahaman dan pengetahuan perkoperasian serta kapasitas dan kompetensi SDM koperasi</w:t>
            </w:r>
          </w:p>
        </w:tc>
        <w:tc>
          <w:tcPr>
            <w:tcW w:w="1800" w:type="dxa"/>
            <w:tcBorders>
              <w:top w:val="single" w:color="auto" w:sz="4" w:space="0"/>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Persentase koperasi yang ber-RAT</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163.640.000</w:t>
            </w:r>
            <w:r>
              <w:rPr>
                <w:rFonts w:hint="default" w:ascii="Cambria" w:hAnsi="Cambria" w:cs="Cambria"/>
                <w:bCs/>
                <w:color w:val="000000"/>
                <w:sz w:val="20"/>
                <w:szCs w:val="20"/>
              </w:rPr>
              <w:t xml:space="preserve">,00 </w:t>
            </w:r>
          </w:p>
        </w:tc>
        <w:tc>
          <w:tcPr>
            <w:tcW w:w="1860"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bCs/>
                <w:color w:val="000000"/>
                <w:sz w:val="20"/>
                <w:szCs w:val="20"/>
              </w:rPr>
            </w:pPr>
            <w:r>
              <w:rPr>
                <w:rFonts w:hint="default" w:ascii="Cambria" w:hAnsi="Cambria" w:cs="Cambria"/>
                <w:bCs/>
                <w:color w:val="000000"/>
                <w:sz w:val="20"/>
                <w:szCs w:val="20"/>
              </w:rPr>
              <w:t xml:space="preserve"> Rp.</w:t>
            </w:r>
            <w:r>
              <w:rPr>
                <w:rFonts w:hint="default" w:ascii="Cambria" w:hAnsi="Cambria" w:cs="Cambria"/>
                <w:bCs/>
                <w:color w:val="000000"/>
                <w:sz w:val="20"/>
                <w:szCs w:val="20"/>
                <w:lang w:val="id-ID"/>
              </w:rPr>
              <w:t>163.640.000</w:t>
            </w:r>
            <w:r>
              <w:rPr>
                <w:rFonts w:hint="default" w:ascii="Cambria" w:hAnsi="Cambria" w:cs="Cambria"/>
                <w:bCs/>
                <w:color w:val="000000"/>
                <w:sz w:val="20"/>
                <w:szCs w:val="20"/>
              </w:rPr>
              <w:t>,00</w:t>
            </w:r>
          </w:p>
        </w:tc>
        <w:tc>
          <w:tcPr>
            <w:tcW w:w="840" w:type="dxa"/>
            <w:tcBorders>
              <w:top w:val="single" w:color="auto" w:sz="4" w:space="0"/>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Cs/>
                <w:color w:val="000000"/>
                <w:sz w:val="20"/>
                <w:szCs w:val="20"/>
              </w:rPr>
            </w:pPr>
            <w:r>
              <w:rPr>
                <w:rFonts w:hint="default" w:ascii="Cambria" w:hAnsi="Cambria" w:cs="Cambria"/>
                <w:bCs/>
                <w:color w:val="000000"/>
                <w:sz w:val="20"/>
                <w:szCs w:val="20"/>
              </w:rPr>
              <w:t>100</w:t>
            </w:r>
          </w:p>
        </w:tc>
      </w:tr>
      <w:tr>
        <w:tblPrEx>
          <w:tblCellMar>
            <w:top w:w="0" w:type="dxa"/>
            <w:left w:w="108" w:type="dxa"/>
            <w:bottom w:w="0" w:type="dxa"/>
            <w:right w:w="108" w:type="dxa"/>
          </w:tblCellMar>
        </w:tblPrEx>
        <w:trPr>
          <w:trHeight w:val="510" w:hRule="atLeast"/>
        </w:trPr>
        <w:tc>
          <w:tcPr>
            <w:tcW w:w="503" w:type="dxa"/>
            <w:tcBorders>
              <w:top w:val="single" w:color="auto" w:sz="4" w:space="0"/>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1</w:t>
            </w:r>
            <w:r>
              <w:rPr>
                <w:rFonts w:hint="default" w:ascii="Cambria" w:hAnsi="Cambria" w:cs="Cambria"/>
                <w:color w:val="000000"/>
                <w:sz w:val="20"/>
                <w:szCs w:val="20"/>
                <w:lang w:val="id-ID"/>
              </w:rPr>
              <w:t>3</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Pemberdayaan Usaha Mikro yang dilakukan melalui Pendataan, Kemitraan, kemudahan Perizinan, Penguatan kelembagaan dan Koordinasi dengan Para Pemangku Kepentingan </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rPr>
              <w:t xml:space="preserve">Jumlah </w:t>
            </w:r>
            <w:r>
              <w:rPr>
                <w:rFonts w:hint="default" w:ascii="Cambria" w:hAnsi="Cambria" w:cs="Cambria"/>
                <w:color w:val="000000"/>
                <w:sz w:val="20"/>
                <w:szCs w:val="20"/>
                <w:lang w:val="id-ID"/>
              </w:rPr>
              <w:t>Dokumen Data Base yang Tersusun</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553.147.000</w:t>
            </w:r>
            <w:r>
              <w:rPr>
                <w:rFonts w:hint="default" w:ascii="Cambria" w:hAnsi="Cambria" w:cs="Cambria"/>
                <w:b/>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550.074.000</w:t>
            </w:r>
            <w:r>
              <w:rPr>
                <w:rFonts w:hint="default" w:ascii="Cambria" w:hAnsi="Cambria" w:cs="Cambria"/>
                <w:b/>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lang w:val="id-ID"/>
              </w:rPr>
              <w:t>99,44</w:t>
            </w:r>
          </w:p>
        </w:tc>
      </w:tr>
      <w:tr>
        <w:tblPrEx>
          <w:tblCellMar>
            <w:top w:w="0" w:type="dxa"/>
            <w:left w:w="108" w:type="dxa"/>
            <w:bottom w:w="0" w:type="dxa"/>
            <w:right w:w="108" w:type="dxa"/>
          </w:tblCellMar>
        </w:tblPrEx>
        <w:trPr>
          <w:trHeight w:val="278"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b/>
                <w:bCs/>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Pendataan Potensi dan Pengembangan Usaha Mikro</w:t>
            </w:r>
          </w:p>
        </w:tc>
        <w:tc>
          <w:tcPr>
            <w:tcW w:w="1800" w:type="dxa"/>
            <w:tcBorders>
              <w:top w:val="nil"/>
              <w:left w:val="nil"/>
              <w:bottom w:val="single" w:color="auto" w:sz="4" w:space="0"/>
              <w:right w:val="nil"/>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rPr>
              <w:t xml:space="preserve">Jumlah </w:t>
            </w:r>
            <w:r>
              <w:rPr>
                <w:rFonts w:hint="default" w:ascii="Cambria" w:hAnsi="Cambria" w:cs="Cambria"/>
                <w:color w:val="000000"/>
                <w:sz w:val="20"/>
                <w:szCs w:val="20"/>
                <w:lang w:val="id-ID"/>
              </w:rPr>
              <w:t>kegiatan yang terverifikasi sebagai pelaku usaha</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79.400.000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79.344.000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w:t>
            </w:r>
            <w:r>
              <w:rPr>
                <w:rFonts w:hint="default" w:ascii="Cambria" w:hAnsi="Cambria" w:cs="Cambria"/>
                <w:color w:val="000000"/>
                <w:sz w:val="20"/>
                <w:szCs w:val="20"/>
                <w:lang w:val="id-ID"/>
              </w:rPr>
              <w:t>9,93</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Pemberdayaan Melalui Kemitraan Usaha Mikro</w:t>
            </w:r>
          </w:p>
        </w:tc>
        <w:tc>
          <w:tcPr>
            <w:tcW w:w="1800" w:type="dxa"/>
            <w:tcBorders>
              <w:top w:val="nil"/>
              <w:left w:val="nil"/>
              <w:bottom w:val="single" w:color="auto" w:sz="4" w:space="0"/>
              <w:right w:val="nil"/>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rPr>
              <w:t xml:space="preserve">Jumlah </w:t>
            </w:r>
            <w:r>
              <w:rPr>
                <w:rFonts w:hint="default" w:ascii="Cambria" w:hAnsi="Cambria" w:cs="Cambria"/>
                <w:color w:val="000000"/>
                <w:sz w:val="20"/>
                <w:szCs w:val="20"/>
                <w:lang w:val="id-ID"/>
              </w:rPr>
              <w:t>UMKM yang mengikuti pelatihan</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203.074.000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202.677.200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w:t>
            </w:r>
            <w:r>
              <w:rPr>
                <w:rFonts w:hint="default" w:ascii="Cambria" w:hAnsi="Cambria" w:cs="Cambria"/>
                <w:color w:val="000000"/>
                <w:sz w:val="20"/>
                <w:szCs w:val="20"/>
                <w:lang w:val="id-ID"/>
              </w:rPr>
              <w:t>9,80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Pemberdayaan Kelembagaan Potensi dan Pengembangan usaha Mikro</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rPr>
              <w:t>Jumlah Sentra yang di</w:t>
            </w:r>
            <w:r>
              <w:rPr>
                <w:rFonts w:hint="default" w:ascii="Cambria" w:hAnsi="Cambria" w:cs="Cambria"/>
                <w:color w:val="000000"/>
                <w:sz w:val="20"/>
                <w:szCs w:val="20"/>
                <w:lang w:val="id-ID"/>
              </w:rPr>
              <w:t>kembangkan</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Rp.2</w:t>
            </w:r>
            <w:r>
              <w:rPr>
                <w:rFonts w:hint="default" w:ascii="Cambria" w:hAnsi="Cambria" w:cs="Cambria"/>
                <w:color w:val="000000"/>
                <w:sz w:val="20"/>
                <w:szCs w:val="20"/>
                <w:lang w:val="id-ID"/>
              </w:rPr>
              <w:t>37.160.000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234.560.000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98,</w:t>
            </w:r>
            <w:r>
              <w:rPr>
                <w:rFonts w:hint="default" w:ascii="Cambria" w:hAnsi="Cambria" w:cs="Cambria"/>
                <w:color w:val="000000"/>
                <w:sz w:val="20"/>
                <w:szCs w:val="20"/>
                <w:lang w:val="id-ID"/>
              </w:rPr>
              <w:t>90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single" w:color="auto" w:sz="4" w:space="0"/>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Koordinasi dan Sinkronisasi dengan para pemangku kepentingan dalam pemberdayaan Usaha Mikro</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Pelaku UMKM yang ikut pada pelatihan</w:t>
            </w:r>
          </w:p>
          <w:p>
            <w:pPr>
              <w:spacing w:after="0"/>
              <w:rPr>
                <w:rFonts w:hint="default" w:ascii="Cambria" w:hAnsi="Cambria" w:cs="Cambria"/>
                <w:color w:val="000000"/>
                <w:sz w:val="20"/>
                <w:szCs w:val="20"/>
              </w:rPr>
            </w:pPr>
          </w:p>
          <w:p>
            <w:pPr>
              <w:spacing w:after="0"/>
              <w:rPr>
                <w:rFonts w:hint="default" w:ascii="Cambria" w:hAnsi="Cambria" w:cs="Cambria"/>
                <w:color w:val="000000"/>
                <w:sz w:val="20"/>
                <w:szCs w:val="20"/>
              </w:rPr>
            </w:pPr>
          </w:p>
          <w:p>
            <w:pPr>
              <w:spacing w:after="0"/>
              <w:rPr>
                <w:rFonts w:hint="default" w:ascii="Cambria" w:hAnsi="Cambria" w:cs="Cambria"/>
                <w:color w:val="000000"/>
                <w:sz w:val="20"/>
                <w:szCs w:val="20"/>
              </w:rPr>
            </w:pPr>
          </w:p>
          <w:p>
            <w:pPr>
              <w:spacing w:after="0"/>
              <w:rPr>
                <w:rFonts w:hint="default" w:ascii="Cambria" w:hAnsi="Cambria" w:cs="Cambria"/>
                <w:color w:val="000000"/>
                <w:sz w:val="20"/>
                <w:szCs w:val="20"/>
              </w:rPr>
            </w:pP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33.513.000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33.492.800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99,</w:t>
            </w:r>
            <w:r>
              <w:rPr>
                <w:rFonts w:hint="default" w:ascii="Cambria" w:hAnsi="Cambria" w:cs="Cambria"/>
                <w:color w:val="000000"/>
                <w:sz w:val="20"/>
                <w:szCs w:val="20"/>
                <w:lang w:val="id-ID"/>
              </w:rPr>
              <w:t>94</w:t>
            </w:r>
          </w:p>
        </w:tc>
      </w:tr>
      <w:tr>
        <w:tblPrEx>
          <w:tblCellMar>
            <w:top w:w="0" w:type="dxa"/>
            <w:left w:w="108" w:type="dxa"/>
            <w:bottom w:w="0" w:type="dxa"/>
            <w:right w:w="108" w:type="dxa"/>
          </w:tblCellMar>
        </w:tblPrEx>
        <w:trPr>
          <w:trHeight w:val="510" w:hRule="atLeast"/>
        </w:trPr>
        <w:tc>
          <w:tcPr>
            <w:tcW w:w="503" w:type="dxa"/>
            <w:tcBorders>
              <w:top w:val="single" w:color="auto" w:sz="4" w:space="0"/>
              <w:left w:val="single" w:color="auto" w:sz="4" w:space="0"/>
              <w:bottom w:val="nil"/>
              <w:right w:val="nil"/>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14</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color w:val="000000"/>
                <w:sz w:val="20"/>
                <w:szCs w:val="20"/>
                <w:lang w:val="id-ID"/>
              </w:rPr>
            </w:pPr>
            <w:r>
              <w:rPr>
                <w:rFonts w:hint="default" w:ascii="Cambria" w:hAnsi="Cambria" w:cs="Cambria"/>
                <w:b/>
                <w:color w:val="000000"/>
                <w:sz w:val="20"/>
                <w:szCs w:val="20"/>
                <w:lang w:val="id-ID"/>
              </w:rPr>
              <w:t>Pengembangan Usaha Mikro dengan Orientasi Peningkatan Skala Usaha Menjadi Usaha Kecil</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Usaha yang berkembang usahanya</w:t>
            </w:r>
          </w:p>
          <w:p>
            <w:pPr>
              <w:spacing w:after="0"/>
              <w:rPr>
                <w:rFonts w:hint="default" w:ascii="Cambria" w:hAnsi="Cambria" w:cs="Cambria"/>
                <w:color w:val="000000"/>
                <w:sz w:val="20"/>
                <w:szCs w:val="20"/>
                <w:lang w:val="id-ID"/>
              </w:rPr>
            </w:pPr>
          </w:p>
          <w:p>
            <w:pPr>
              <w:spacing w:after="0"/>
              <w:rPr>
                <w:rFonts w:hint="default" w:ascii="Cambria" w:hAnsi="Cambria" w:cs="Cambria"/>
                <w:color w:val="000000"/>
                <w:sz w:val="20"/>
                <w:szCs w:val="20"/>
                <w:lang w:val="id-ID"/>
              </w:rPr>
            </w:pPr>
          </w:p>
          <w:p>
            <w:pPr>
              <w:spacing w:after="0"/>
              <w:rPr>
                <w:rFonts w:hint="default" w:ascii="Cambria" w:hAnsi="Cambria" w:cs="Cambria"/>
                <w:color w:val="000000"/>
                <w:sz w:val="20"/>
                <w:szCs w:val="20"/>
                <w:lang w:val="id-ID"/>
              </w:rPr>
            </w:pP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color w:val="000000"/>
                <w:sz w:val="20"/>
                <w:szCs w:val="20"/>
                <w:lang w:val="id-ID"/>
              </w:rPr>
            </w:pPr>
            <w:r>
              <w:rPr>
                <w:rFonts w:hint="default" w:ascii="Cambria" w:hAnsi="Cambria" w:cs="Cambria"/>
                <w:b/>
                <w:color w:val="000000"/>
                <w:sz w:val="20"/>
                <w:szCs w:val="20"/>
                <w:lang w:val="id-ID"/>
              </w:rPr>
              <w:t>Rp.4.170.915.000</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color w:val="000000"/>
                <w:sz w:val="20"/>
                <w:szCs w:val="20"/>
                <w:lang w:val="id-ID"/>
              </w:rPr>
            </w:pPr>
            <w:r>
              <w:rPr>
                <w:rFonts w:hint="default" w:ascii="Cambria" w:hAnsi="Cambria" w:cs="Cambria"/>
                <w:b/>
                <w:color w:val="000000"/>
                <w:sz w:val="20"/>
                <w:szCs w:val="20"/>
                <w:lang w:val="id-ID"/>
              </w:rPr>
              <w:t>3.428.412.500</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color w:val="000000"/>
                <w:sz w:val="20"/>
                <w:szCs w:val="20"/>
                <w:lang w:val="id-ID"/>
              </w:rPr>
            </w:pPr>
            <w:r>
              <w:rPr>
                <w:rFonts w:hint="default" w:ascii="Cambria" w:hAnsi="Cambria" w:cs="Cambria"/>
                <w:b/>
                <w:color w:val="000000"/>
                <w:sz w:val="20"/>
                <w:szCs w:val="20"/>
                <w:lang w:val="id-ID"/>
              </w:rPr>
              <w:t>82,20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nil"/>
              <w:right w:val="nil"/>
            </w:tcBorders>
            <w:shd w:val="clear" w:color="auto" w:fill="auto"/>
            <w:noWrap/>
          </w:tcPr>
          <w:p>
            <w:pPr>
              <w:spacing w:after="0"/>
              <w:jc w:val="center"/>
              <w:rPr>
                <w:rFonts w:hint="default" w:ascii="Cambria" w:hAnsi="Cambria" w:cs="Cambria"/>
                <w:color w:val="000000"/>
                <w:sz w:val="20"/>
                <w:szCs w:val="20"/>
                <w:lang w:val="id-ID"/>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Fasilitasi Usaha Mikro Menjadi Usaha Kecil dalam Pengembangan Produksi dan Pengolahan, Pemasaran, SDM, serta Desain dan Teknologi</w:t>
            </w:r>
          </w:p>
        </w:tc>
        <w:tc>
          <w:tcPr>
            <w:tcW w:w="180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Jumlah kelompok UMKM Penerima Bantuan</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Rp.4.170.915.000</w:t>
            </w:r>
          </w:p>
        </w:tc>
        <w:tc>
          <w:tcPr>
            <w:tcW w:w="186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3.428.412.500</w:t>
            </w:r>
          </w:p>
        </w:tc>
        <w:tc>
          <w:tcPr>
            <w:tcW w:w="840"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82,20</w:t>
            </w:r>
          </w:p>
        </w:tc>
      </w:tr>
      <w:tr>
        <w:tblPrEx>
          <w:tblCellMar>
            <w:top w:w="0" w:type="dxa"/>
            <w:left w:w="108" w:type="dxa"/>
            <w:bottom w:w="0" w:type="dxa"/>
            <w:right w:w="108" w:type="dxa"/>
          </w:tblCellMar>
        </w:tblPrEx>
        <w:trPr>
          <w:trHeight w:val="1275" w:hRule="atLeast"/>
        </w:trPr>
        <w:tc>
          <w:tcPr>
            <w:tcW w:w="503" w:type="dxa"/>
            <w:tcBorders>
              <w:top w:val="single" w:color="auto" w:sz="4" w:space="0"/>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1</w:t>
            </w:r>
            <w:r>
              <w:rPr>
                <w:rFonts w:hint="default" w:ascii="Cambria" w:hAnsi="Cambria" w:cs="Cambria"/>
                <w:color w:val="000000"/>
                <w:sz w:val="20"/>
                <w:szCs w:val="20"/>
                <w:lang w:val="id-ID"/>
              </w:rPr>
              <w:t>5</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Perencanaan, Penganggaran dan Evaluasi Kinerja Perangkat Daerah</w:t>
            </w:r>
          </w:p>
        </w:tc>
        <w:tc>
          <w:tcPr>
            <w:tcW w:w="1800" w:type="dxa"/>
            <w:tcBorders>
              <w:top w:val="single" w:color="auto" w:sz="4" w:space="0"/>
              <w:left w:val="nil"/>
              <w:bottom w:val="single" w:color="auto" w:sz="4" w:space="0"/>
              <w:right w:val="nil"/>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Persentase Dokumen Perencanaan, Penganggaran dan Evaluasi Kinerja yang tersusun (%)</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48.762.000</w:t>
            </w:r>
            <w:r>
              <w:rPr>
                <w:rFonts w:hint="default" w:ascii="Cambria" w:hAnsi="Cambria" w:cs="Cambria"/>
                <w:b/>
                <w:bCs/>
                <w:color w:val="000000"/>
                <w:sz w:val="20"/>
                <w:szCs w:val="20"/>
              </w:rPr>
              <w:t xml:space="preserve">,00 </w:t>
            </w:r>
          </w:p>
        </w:tc>
        <w:tc>
          <w:tcPr>
            <w:tcW w:w="1860"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48.202.000</w:t>
            </w:r>
            <w:r>
              <w:rPr>
                <w:rFonts w:hint="default" w:ascii="Cambria" w:hAnsi="Cambria" w:cs="Cambria"/>
                <w:b/>
                <w:bCs/>
                <w:color w:val="000000"/>
                <w:sz w:val="20"/>
                <w:szCs w:val="20"/>
              </w:rPr>
              <w:t xml:space="preserve">,00 </w:t>
            </w:r>
          </w:p>
        </w:tc>
        <w:tc>
          <w:tcPr>
            <w:tcW w:w="840" w:type="dxa"/>
            <w:tcBorders>
              <w:top w:val="single" w:color="auto" w:sz="4" w:space="0"/>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rPr>
              <w:t>9</w:t>
            </w:r>
            <w:r>
              <w:rPr>
                <w:rFonts w:hint="default" w:ascii="Cambria" w:hAnsi="Cambria" w:cs="Cambria"/>
                <w:b/>
                <w:bCs/>
                <w:color w:val="000000"/>
                <w:sz w:val="20"/>
                <w:szCs w:val="20"/>
                <w:lang w:val="id-ID"/>
              </w:rPr>
              <w:t>8,85</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b/>
                <w:bCs/>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Penyusunan Dokumen Perencanaan Perangkat Daerah</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Dokumen Perencanaan (Renstra/Renja/RKT)</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12.020.000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11.710.000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w:t>
            </w:r>
            <w:r>
              <w:rPr>
                <w:rFonts w:hint="default" w:ascii="Cambria" w:hAnsi="Cambria" w:cs="Cambria"/>
                <w:color w:val="000000"/>
                <w:sz w:val="20"/>
                <w:szCs w:val="20"/>
                <w:lang w:val="id-ID"/>
              </w:rPr>
              <w:t>7,42</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Koordinasi dan Penyusunan Dokumen RKA-SKPD</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Dokumen Rencana Kerja Anggaran (RKA)</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3.942.000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3.942.000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Koordinasi dan Penyusunan Dokumen Perubahan RKA-SKPD</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Dokumen Rencana Kerja Anggaran Perubahan (RKA-P)</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7.460.000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7.460.000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noWrap/>
          </w:tcPr>
          <w:p>
            <w:pPr>
              <w:spacing w:after="0"/>
              <w:rPr>
                <w:rFonts w:hint="default" w:ascii="Cambria" w:hAnsi="Cambria" w:cs="Cambria"/>
                <w:color w:val="000000"/>
                <w:sz w:val="20"/>
                <w:szCs w:val="20"/>
              </w:rPr>
            </w:pPr>
            <w:r>
              <w:rPr>
                <w:rFonts w:hint="default" w:ascii="Cambria" w:hAnsi="Cambria" w:cs="Cambria"/>
                <w:color w:val="000000"/>
                <w:sz w:val="20"/>
                <w:szCs w:val="20"/>
              </w:rPr>
              <w:t>Koordinasi dan Penyusunan DPA-SKPD</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Dokumen Pelaksaan Anggaran (DPA)</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1.704.000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1.704.000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562"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Koordinasi dan Penyusunan Perubahan DPA-SKPD</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Dokumen Pelaksanaan Perubahan Anggaran (DPPA)</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7.382.000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7.282.000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98,65</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Koordinasi dan Penyusunan Laporan Capaian Kinerja dan Ikhtisar Realisasi Kinerja SKPD</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Laporan Kinerja (Lakip/LKPJ/LPPD, Buku Profil)</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8.443.000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8.393.000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99,41</w:t>
            </w:r>
          </w:p>
        </w:tc>
      </w:tr>
      <w:tr>
        <w:tblPrEx>
          <w:tblCellMar>
            <w:top w:w="0" w:type="dxa"/>
            <w:left w:w="108" w:type="dxa"/>
            <w:bottom w:w="0" w:type="dxa"/>
            <w:right w:w="108" w:type="dxa"/>
          </w:tblCellMar>
        </w:tblPrEx>
        <w:trPr>
          <w:trHeight w:val="102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noWrap/>
          </w:tcPr>
          <w:p>
            <w:pPr>
              <w:spacing w:after="0"/>
              <w:rPr>
                <w:rFonts w:hint="default" w:ascii="Cambria" w:hAnsi="Cambria" w:cs="Cambria"/>
                <w:color w:val="000000"/>
                <w:sz w:val="20"/>
                <w:szCs w:val="20"/>
              </w:rPr>
            </w:pPr>
            <w:r>
              <w:rPr>
                <w:rFonts w:hint="default" w:ascii="Cambria" w:hAnsi="Cambria" w:cs="Cambria"/>
                <w:color w:val="000000"/>
                <w:sz w:val="20"/>
                <w:szCs w:val="20"/>
              </w:rPr>
              <w:t>Evaluasi Kinerja Perangkat Daerah</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Dokumen SAKIP dan Implementasi RB (Cascading, PK, IKU, IKI, Rencana Aksi, Monev PK)</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7.811.000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7.711.000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w:t>
            </w:r>
            <w:r>
              <w:rPr>
                <w:rFonts w:hint="default" w:ascii="Cambria" w:hAnsi="Cambria" w:cs="Cambria"/>
                <w:color w:val="000000"/>
                <w:sz w:val="20"/>
                <w:szCs w:val="20"/>
                <w:lang w:val="id-ID"/>
              </w:rPr>
              <w:t>8,72</w:t>
            </w:r>
          </w:p>
        </w:tc>
      </w:tr>
      <w:tr>
        <w:tblPrEx>
          <w:tblCellMar>
            <w:top w:w="0" w:type="dxa"/>
            <w:left w:w="108" w:type="dxa"/>
            <w:bottom w:w="0" w:type="dxa"/>
            <w:right w:w="108" w:type="dxa"/>
          </w:tblCellMar>
        </w:tblPrEx>
        <w:trPr>
          <w:trHeight w:val="765" w:hRule="atLeast"/>
        </w:trPr>
        <w:tc>
          <w:tcPr>
            <w:tcW w:w="503"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1</w:t>
            </w:r>
            <w:r>
              <w:rPr>
                <w:rFonts w:hint="default" w:ascii="Cambria" w:hAnsi="Cambria" w:cs="Cambria"/>
                <w:color w:val="000000"/>
                <w:sz w:val="20"/>
                <w:szCs w:val="20"/>
                <w:lang w:val="id-ID"/>
              </w:rPr>
              <w:t>6</w:t>
            </w:r>
          </w:p>
        </w:tc>
        <w:tc>
          <w:tcPr>
            <w:tcW w:w="2354" w:type="dxa"/>
            <w:tcBorders>
              <w:top w:val="single" w:color="auto" w:sz="4" w:space="0"/>
              <w:left w:val="single" w:color="auto" w:sz="4" w:space="0"/>
              <w:bottom w:val="single" w:color="auto" w:sz="4" w:space="0"/>
              <w:right w:val="single" w:color="auto" w:sz="4" w:space="0"/>
            </w:tcBorders>
            <w:shd w:val="clear" w:color="auto" w:fill="auto"/>
            <w:noWrap/>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Administrasi Keuangan Perangkat Daerah</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Peningkatan Laporan Capaian Kinerja dan Keuangan (%)</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2.880.932.658</w:t>
            </w:r>
            <w:r>
              <w:rPr>
                <w:rFonts w:hint="default" w:ascii="Cambria" w:hAnsi="Cambria" w:cs="Cambria"/>
                <w:b/>
                <w:bCs/>
                <w:color w:val="000000"/>
                <w:sz w:val="20"/>
                <w:szCs w:val="20"/>
              </w:rPr>
              <w:t xml:space="preserve">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2.822.333.888</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rPr>
              <w:t> </w:t>
            </w:r>
            <w:r>
              <w:rPr>
                <w:rFonts w:hint="default" w:ascii="Cambria" w:hAnsi="Cambria" w:cs="Cambria"/>
                <w:b/>
                <w:bCs/>
                <w:color w:val="000000"/>
                <w:sz w:val="20"/>
                <w:szCs w:val="20"/>
                <w:lang w:val="id-ID"/>
              </w:rPr>
              <w:t>97,97</w:t>
            </w:r>
          </w:p>
        </w:tc>
      </w:tr>
      <w:tr>
        <w:tblPrEx>
          <w:tblCellMar>
            <w:top w:w="0" w:type="dxa"/>
            <w:left w:w="108" w:type="dxa"/>
            <w:bottom w:w="0" w:type="dxa"/>
            <w:right w:w="108" w:type="dxa"/>
          </w:tblCellMar>
        </w:tblPrEx>
        <w:trPr>
          <w:trHeight w:val="765" w:hRule="atLeast"/>
        </w:trPr>
        <w:tc>
          <w:tcPr>
            <w:tcW w:w="503" w:type="dxa"/>
            <w:tcBorders>
              <w:top w:val="single" w:color="auto" w:sz="4" w:space="0"/>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b/>
                <w:bCs/>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noWrap/>
          </w:tcPr>
          <w:p>
            <w:pPr>
              <w:spacing w:after="0"/>
              <w:rPr>
                <w:rFonts w:hint="default" w:ascii="Cambria" w:hAnsi="Cambria" w:cs="Cambria"/>
                <w:color w:val="000000"/>
                <w:sz w:val="20"/>
                <w:szCs w:val="20"/>
              </w:rPr>
            </w:pPr>
            <w:r>
              <w:rPr>
                <w:rFonts w:hint="default" w:ascii="Cambria" w:hAnsi="Cambria" w:cs="Cambria"/>
                <w:color w:val="000000"/>
                <w:sz w:val="20"/>
                <w:szCs w:val="20"/>
              </w:rPr>
              <w:t>Penyediaan Gaji dan Tunjangan ASN</w:t>
            </w:r>
          </w:p>
        </w:tc>
        <w:tc>
          <w:tcPr>
            <w:tcW w:w="1800" w:type="dxa"/>
            <w:tcBorders>
              <w:top w:val="single" w:color="auto" w:sz="4" w:space="0"/>
              <w:left w:val="single" w:color="auto" w:sz="4" w:space="0"/>
              <w:bottom w:val="single" w:color="auto" w:sz="4" w:space="0"/>
              <w:right w:val="single" w:color="auto" w:sz="4" w:space="0"/>
            </w:tcBorders>
            <w:shd w:val="clear" w:color="auto" w:fill="auto"/>
            <w:noWrap/>
            <w:vAlign w:val="bottom"/>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 xml:space="preserve">Jumlah PNS yang menerima gaji dan tunjangan </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2.865.932.658</w:t>
            </w:r>
            <w:r>
              <w:rPr>
                <w:rFonts w:hint="default" w:ascii="Cambria" w:hAnsi="Cambria" w:cs="Cambria"/>
                <w:color w:val="000000"/>
                <w:sz w:val="20"/>
                <w:szCs w:val="20"/>
              </w:rPr>
              <w:t xml:space="preserve">,00 </w:t>
            </w:r>
          </w:p>
        </w:tc>
        <w:tc>
          <w:tcPr>
            <w:tcW w:w="186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2.807.333.888</w:t>
            </w:r>
            <w:r>
              <w:rPr>
                <w:rFonts w:hint="default" w:ascii="Cambria" w:hAnsi="Cambria" w:cs="Cambria"/>
                <w:color w:val="000000"/>
                <w:sz w:val="20"/>
                <w:szCs w:val="20"/>
              </w:rPr>
              <w:t xml:space="preserve">,00 </w:t>
            </w:r>
          </w:p>
        </w:tc>
        <w:tc>
          <w:tcPr>
            <w:tcW w:w="840"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97,96</w:t>
            </w:r>
          </w:p>
        </w:tc>
      </w:tr>
      <w:tr>
        <w:tblPrEx>
          <w:tblCellMar>
            <w:top w:w="0" w:type="dxa"/>
            <w:left w:w="108" w:type="dxa"/>
            <w:bottom w:w="0" w:type="dxa"/>
            <w:right w:w="108" w:type="dxa"/>
          </w:tblCellMar>
        </w:tblPrEx>
        <w:trPr>
          <w:trHeight w:val="510" w:hRule="atLeast"/>
        </w:trPr>
        <w:tc>
          <w:tcPr>
            <w:tcW w:w="503" w:type="dxa"/>
            <w:tcBorders>
              <w:top w:val="single" w:color="auto" w:sz="4" w:space="0"/>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Koordinasi dan Penyusunan Laporan Keuangan Akhir Tahun SKPD</w:t>
            </w:r>
          </w:p>
        </w:tc>
        <w:tc>
          <w:tcPr>
            <w:tcW w:w="1800" w:type="dxa"/>
            <w:tcBorders>
              <w:top w:val="single" w:color="auto" w:sz="4" w:space="0"/>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Laporan Keuangan Akhir Tahun</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Rp.5.000.000,00 </w:t>
            </w:r>
          </w:p>
        </w:tc>
        <w:tc>
          <w:tcPr>
            <w:tcW w:w="1860"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Rp.5.000.000,00 </w:t>
            </w:r>
          </w:p>
        </w:tc>
        <w:tc>
          <w:tcPr>
            <w:tcW w:w="840" w:type="dxa"/>
            <w:tcBorders>
              <w:top w:val="single" w:color="auto" w:sz="4" w:space="0"/>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30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Koordinasi dan Penyusunan Laporan Keuangan Bulanan/Triwulan/Semesteran</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SPJ Fungsional</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Rp.5.000.000,00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Rp.5.000.000,00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30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Penyusunan Pelaporan dan Analisis Prognosis Realisasi Anggaran</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Jumlah Laporan RF-K</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Rp.5.000.000,00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Rp.5.000.000,00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765" w:hRule="atLeast"/>
        </w:trPr>
        <w:tc>
          <w:tcPr>
            <w:tcW w:w="503" w:type="dxa"/>
            <w:tcBorders>
              <w:top w:val="single" w:color="auto" w:sz="4" w:space="0"/>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1</w:t>
            </w:r>
            <w:r>
              <w:rPr>
                <w:rFonts w:hint="default" w:ascii="Cambria" w:hAnsi="Cambria" w:cs="Cambria"/>
                <w:color w:val="000000"/>
                <w:sz w:val="20"/>
                <w:szCs w:val="20"/>
                <w:lang w:val="id-ID"/>
              </w:rPr>
              <w:t>7</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Administrasi Barang Milik Daerah pada Perangkat Daerah</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Laporan Administrasi BMD yang tersusun (%)</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10</w:t>
            </w:r>
            <w:r>
              <w:rPr>
                <w:rFonts w:hint="default" w:ascii="Cambria" w:hAnsi="Cambria" w:cs="Cambria"/>
                <w:b/>
                <w:bCs/>
                <w:color w:val="000000"/>
                <w:sz w:val="20"/>
                <w:szCs w:val="20"/>
              </w:rPr>
              <w:t xml:space="preserve">.000.000,00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10</w:t>
            </w:r>
            <w:r>
              <w:rPr>
                <w:rFonts w:hint="default" w:ascii="Cambria" w:hAnsi="Cambria" w:cs="Cambria"/>
                <w:b/>
                <w:bCs/>
                <w:color w:val="000000"/>
                <w:sz w:val="20"/>
                <w:szCs w:val="20"/>
              </w:rPr>
              <w:t xml:space="preserve">.000.000,00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rPr>
            </w:pPr>
            <w:r>
              <w:rPr>
                <w:rFonts w:hint="default" w:ascii="Cambria" w:hAnsi="Cambria" w:cs="Cambria"/>
                <w:b/>
                <w:bCs/>
                <w:color w:val="000000"/>
                <w:sz w:val="20"/>
                <w:szCs w:val="20"/>
              </w:rPr>
              <w:t>100</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b/>
                <w:bCs/>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Penatausahaan Barang Milik Daerah pada SKPD</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rPr>
              <w:t xml:space="preserve">Jumlah </w:t>
            </w:r>
            <w:r>
              <w:rPr>
                <w:rFonts w:hint="default" w:ascii="Cambria" w:hAnsi="Cambria" w:cs="Cambria"/>
                <w:color w:val="000000"/>
                <w:sz w:val="20"/>
                <w:szCs w:val="20"/>
                <w:lang w:val="id-ID"/>
              </w:rPr>
              <w:t>Penatausahaan Barang milik Daerah pada SKPD</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10</w:t>
            </w:r>
            <w:r>
              <w:rPr>
                <w:rFonts w:hint="default" w:ascii="Cambria" w:hAnsi="Cambria" w:cs="Cambria"/>
                <w:color w:val="000000"/>
                <w:sz w:val="20"/>
                <w:szCs w:val="20"/>
              </w:rPr>
              <w:t xml:space="preserve">.000.000,00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10</w:t>
            </w:r>
            <w:r>
              <w:rPr>
                <w:rFonts w:hint="default" w:ascii="Cambria" w:hAnsi="Cambria" w:cs="Cambria"/>
                <w:color w:val="000000"/>
                <w:sz w:val="20"/>
                <w:szCs w:val="20"/>
              </w:rPr>
              <w:t xml:space="preserve">.000.000,00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765" w:hRule="atLeast"/>
        </w:trPr>
        <w:tc>
          <w:tcPr>
            <w:tcW w:w="503" w:type="dxa"/>
            <w:tcBorders>
              <w:top w:val="single" w:color="auto" w:sz="4" w:space="0"/>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18</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Administrasi Kepegawaian Perangkat Daerah</w:t>
            </w:r>
          </w:p>
        </w:tc>
        <w:tc>
          <w:tcPr>
            <w:tcW w:w="1800" w:type="dxa"/>
            <w:tcBorders>
              <w:top w:val="single" w:color="auto" w:sz="4" w:space="0"/>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Peningkatan Administrasi Kepegawaian Perangkat Daerah (%)</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color w:val="000000"/>
                <w:sz w:val="20"/>
                <w:szCs w:val="20"/>
              </w:rPr>
            </w:pPr>
            <w:r>
              <w:rPr>
                <w:rFonts w:hint="default" w:ascii="Cambria" w:hAnsi="Cambria" w:cs="Cambria"/>
                <w:b/>
                <w:color w:val="000000"/>
                <w:sz w:val="20"/>
                <w:szCs w:val="20"/>
              </w:rPr>
              <w:t xml:space="preserve"> Rp.5.000.000,00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color w:val="000000"/>
                <w:sz w:val="20"/>
                <w:szCs w:val="20"/>
              </w:rPr>
            </w:pPr>
            <w:r>
              <w:rPr>
                <w:rFonts w:hint="default" w:ascii="Cambria" w:hAnsi="Cambria" w:cs="Cambria"/>
                <w:b/>
                <w:color w:val="000000"/>
                <w:sz w:val="20"/>
                <w:szCs w:val="20"/>
              </w:rPr>
              <w:t xml:space="preserve"> Rp.5.000.000,00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color w:val="000000"/>
                <w:sz w:val="20"/>
                <w:szCs w:val="20"/>
              </w:rPr>
            </w:pPr>
            <w:r>
              <w:rPr>
                <w:rFonts w:hint="default" w:ascii="Cambria" w:hAnsi="Cambria" w:cs="Cambria"/>
                <w:b/>
                <w:color w:val="000000"/>
                <w:sz w:val="20"/>
                <w:szCs w:val="20"/>
              </w:rPr>
              <w:t>100</w:t>
            </w:r>
          </w:p>
        </w:tc>
      </w:tr>
      <w:tr>
        <w:tblPrEx>
          <w:tblCellMar>
            <w:top w:w="0" w:type="dxa"/>
            <w:left w:w="108" w:type="dxa"/>
            <w:bottom w:w="0" w:type="dxa"/>
            <w:right w:w="108" w:type="dxa"/>
          </w:tblCellMar>
        </w:tblPrEx>
        <w:trPr>
          <w:trHeight w:val="1275"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b/>
                <w:bCs/>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Pendataan dan Pengolahan Administrasi Kepegawaian</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peningkatan pemdataan dan pengolahan administrasi kepegawaian</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Rp.5.000.000,00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Rp.5.000.000,00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765" w:hRule="atLeast"/>
        </w:trPr>
        <w:tc>
          <w:tcPr>
            <w:tcW w:w="503" w:type="dxa"/>
            <w:tcBorders>
              <w:top w:val="single" w:color="auto" w:sz="4" w:space="0"/>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19</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Administrasi Umum Perangkat Daerah</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Kelancaran Administrasi dan Operasional Perkantoran</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867.288.600</w:t>
            </w:r>
            <w:r>
              <w:rPr>
                <w:rFonts w:hint="default" w:ascii="Cambria" w:hAnsi="Cambria" w:cs="Cambria"/>
                <w:b/>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866.799.200</w:t>
            </w:r>
            <w:r>
              <w:rPr>
                <w:rFonts w:hint="default" w:ascii="Cambria" w:hAnsi="Cambria" w:cs="Cambria"/>
                <w:b/>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lang w:val="id-ID"/>
              </w:rPr>
              <w:t>100</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single" w:color="auto" w:sz="4" w:space="0"/>
              <w:right w:val="nil"/>
            </w:tcBorders>
            <w:shd w:val="clear" w:color="auto" w:fill="auto"/>
            <w:noWrap/>
            <w:vAlign w:val="bottom"/>
          </w:tcPr>
          <w:p>
            <w:pPr>
              <w:spacing w:after="0"/>
              <w:jc w:val="center"/>
              <w:rPr>
                <w:rFonts w:hint="default" w:ascii="Cambria" w:hAnsi="Cambria" w:cs="Cambria"/>
                <w:b/>
                <w:bCs/>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Penyediaan Peralatan dan Perlengkapan Kantor</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 xml:space="preserve">Persentase peningkatan </w:t>
            </w:r>
            <w:r>
              <w:rPr>
                <w:rFonts w:hint="default" w:ascii="Cambria" w:hAnsi="Cambria" w:cs="Cambria"/>
                <w:color w:val="000000"/>
                <w:sz w:val="20"/>
                <w:szCs w:val="20"/>
              </w:rPr>
              <w:t>Penyediaan Peralatan dan Perlengkapan Kantor</w:t>
            </w:r>
          </w:p>
          <w:p>
            <w:pPr>
              <w:spacing w:after="0"/>
              <w:rPr>
                <w:rFonts w:hint="default" w:ascii="Cambria" w:hAnsi="Cambria" w:cs="Cambria"/>
                <w:color w:val="000000"/>
                <w:sz w:val="20"/>
                <w:szCs w:val="20"/>
              </w:rPr>
            </w:pPr>
          </w:p>
          <w:p>
            <w:pPr>
              <w:spacing w:after="0"/>
              <w:rPr>
                <w:rFonts w:hint="default" w:ascii="Cambria" w:hAnsi="Cambria" w:cs="Cambria"/>
                <w:color w:val="000000"/>
                <w:sz w:val="20"/>
                <w:szCs w:val="20"/>
                <w:lang w:val="id-ID"/>
              </w:rPr>
            </w:pP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266.960.600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266.960.000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510" w:hRule="atLeast"/>
        </w:trPr>
        <w:tc>
          <w:tcPr>
            <w:tcW w:w="503" w:type="dxa"/>
            <w:tcBorders>
              <w:top w:val="single" w:color="auto" w:sz="4" w:space="0"/>
              <w:left w:val="single" w:color="auto" w:sz="4" w:space="0"/>
              <w:bottom w:val="single" w:color="auto" w:sz="4" w:space="0"/>
              <w:right w:val="single" w:color="auto" w:sz="4" w:space="0"/>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Penyediaan Barang Cetakan dan Penggandaan</w:t>
            </w:r>
          </w:p>
        </w:tc>
        <w:tc>
          <w:tcPr>
            <w:tcW w:w="180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 xml:space="preserve">Persentase peningkatan </w:t>
            </w:r>
            <w:r>
              <w:rPr>
                <w:rFonts w:hint="default" w:ascii="Cambria" w:hAnsi="Cambria" w:cs="Cambria"/>
                <w:color w:val="000000"/>
                <w:sz w:val="20"/>
                <w:szCs w:val="20"/>
              </w:rPr>
              <w:t>Penyediaan Barang Cetakan dan Penggandaan</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Rp.1</w:t>
            </w:r>
            <w:r>
              <w:rPr>
                <w:rFonts w:hint="default" w:ascii="Cambria" w:hAnsi="Cambria" w:cs="Cambria"/>
                <w:color w:val="000000"/>
                <w:sz w:val="20"/>
                <w:szCs w:val="20"/>
                <w:lang w:val="id-ID"/>
              </w:rPr>
              <w:t>33.431.000</w:t>
            </w:r>
            <w:r>
              <w:rPr>
                <w:rFonts w:hint="default" w:ascii="Cambria" w:hAnsi="Cambria" w:cs="Cambria"/>
                <w:color w:val="000000"/>
                <w:sz w:val="20"/>
                <w:szCs w:val="20"/>
              </w:rPr>
              <w:t xml:space="preserve">,00 </w:t>
            </w:r>
          </w:p>
        </w:tc>
        <w:tc>
          <w:tcPr>
            <w:tcW w:w="186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Rp.1</w:t>
            </w:r>
            <w:r>
              <w:rPr>
                <w:rFonts w:hint="default" w:ascii="Cambria" w:hAnsi="Cambria" w:cs="Cambria"/>
                <w:color w:val="000000"/>
                <w:sz w:val="20"/>
                <w:szCs w:val="20"/>
                <w:lang w:val="id-ID"/>
              </w:rPr>
              <w:t>33.372.200</w:t>
            </w:r>
            <w:r>
              <w:rPr>
                <w:rFonts w:hint="default" w:ascii="Cambria" w:hAnsi="Cambria" w:cs="Cambria"/>
                <w:color w:val="000000"/>
                <w:sz w:val="20"/>
                <w:szCs w:val="20"/>
              </w:rPr>
              <w:t xml:space="preserve">,00 </w:t>
            </w:r>
          </w:p>
        </w:tc>
        <w:tc>
          <w:tcPr>
            <w:tcW w:w="840"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99,9</w:t>
            </w:r>
            <w:r>
              <w:rPr>
                <w:rFonts w:hint="default" w:ascii="Cambria" w:hAnsi="Cambria" w:cs="Cambria"/>
                <w:color w:val="000000"/>
                <w:sz w:val="20"/>
                <w:szCs w:val="20"/>
                <w:lang w:val="id-ID"/>
              </w:rPr>
              <w:t>6</w:t>
            </w:r>
          </w:p>
        </w:tc>
      </w:tr>
      <w:tr>
        <w:tblPrEx>
          <w:tblCellMar>
            <w:top w:w="0" w:type="dxa"/>
            <w:left w:w="108" w:type="dxa"/>
            <w:bottom w:w="0" w:type="dxa"/>
            <w:right w:w="108" w:type="dxa"/>
          </w:tblCellMar>
        </w:tblPrEx>
        <w:trPr>
          <w:trHeight w:val="1275" w:hRule="atLeast"/>
        </w:trPr>
        <w:tc>
          <w:tcPr>
            <w:tcW w:w="503" w:type="dxa"/>
            <w:tcBorders>
              <w:top w:val="single" w:color="auto" w:sz="4" w:space="0"/>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Penyediaan Bahan Bacaan dan Peraturan Perundang-undangan</w:t>
            </w:r>
          </w:p>
        </w:tc>
        <w:tc>
          <w:tcPr>
            <w:tcW w:w="1800" w:type="dxa"/>
            <w:tcBorders>
              <w:top w:val="single" w:color="auto" w:sz="4" w:space="0"/>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 xml:space="preserve">Persentase peningkatan </w:t>
            </w:r>
            <w:r>
              <w:rPr>
                <w:rFonts w:hint="default" w:ascii="Cambria" w:hAnsi="Cambria" w:cs="Cambria"/>
                <w:color w:val="000000"/>
                <w:sz w:val="20"/>
                <w:szCs w:val="20"/>
              </w:rPr>
              <w:t>Penyediaan Bahan Bacaan dan Peraturan Perundang-undangan</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10.000.000</w:t>
            </w:r>
            <w:r>
              <w:rPr>
                <w:rFonts w:hint="default" w:ascii="Cambria" w:hAnsi="Cambria" w:cs="Cambria"/>
                <w:color w:val="000000"/>
                <w:sz w:val="20"/>
                <w:szCs w:val="20"/>
              </w:rPr>
              <w:t xml:space="preserve">,00 </w:t>
            </w:r>
          </w:p>
        </w:tc>
        <w:tc>
          <w:tcPr>
            <w:tcW w:w="1860"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9.570.000</w:t>
            </w:r>
            <w:r>
              <w:rPr>
                <w:rFonts w:hint="default" w:ascii="Cambria" w:hAnsi="Cambria" w:cs="Cambria"/>
                <w:color w:val="000000"/>
                <w:sz w:val="20"/>
                <w:szCs w:val="20"/>
              </w:rPr>
              <w:t xml:space="preserve">,00 </w:t>
            </w:r>
          </w:p>
        </w:tc>
        <w:tc>
          <w:tcPr>
            <w:tcW w:w="840" w:type="dxa"/>
            <w:tcBorders>
              <w:top w:val="single" w:color="auto" w:sz="4" w:space="0"/>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noWrap/>
          </w:tcPr>
          <w:p>
            <w:pPr>
              <w:spacing w:after="0"/>
              <w:rPr>
                <w:rFonts w:hint="default" w:ascii="Cambria" w:hAnsi="Cambria" w:cs="Cambria"/>
                <w:color w:val="000000"/>
                <w:sz w:val="20"/>
                <w:szCs w:val="20"/>
              </w:rPr>
            </w:pPr>
            <w:r>
              <w:rPr>
                <w:rFonts w:hint="default" w:ascii="Cambria" w:hAnsi="Cambria" w:cs="Cambria"/>
                <w:color w:val="000000"/>
                <w:sz w:val="20"/>
                <w:szCs w:val="20"/>
              </w:rPr>
              <w:t>Fasilitasi Kunjungan Tamu</w:t>
            </w:r>
          </w:p>
        </w:tc>
        <w:tc>
          <w:tcPr>
            <w:tcW w:w="1800" w:type="dxa"/>
            <w:tcBorders>
              <w:top w:val="nil"/>
              <w:left w:val="nil"/>
              <w:bottom w:val="single" w:color="auto" w:sz="4" w:space="0"/>
              <w:right w:val="nil"/>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 xml:space="preserve">Persentase peningkatan </w:t>
            </w:r>
            <w:r>
              <w:rPr>
                <w:rFonts w:hint="default" w:ascii="Cambria" w:hAnsi="Cambria" w:cs="Cambria"/>
                <w:color w:val="000000"/>
                <w:sz w:val="20"/>
                <w:szCs w:val="20"/>
              </w:rPr>
              <w:t>Fasilitasi Kunjungan Tamu</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en-US"/>
              </w:rPr>
              <w:t>36.120.000,00</w:t>
            </w:r>
            <w:r>
              <w:rPr>
                <w:rFonts w:hint="default" w:ascii="Cambria" w:hAnsi="Cambria" w:cs="Cambria"/>
                <w:color w:val="000000"/>
                <w:sz w:val="20"/>
                <w:szCs w:val="20"/>
              </w:rPr>
              <w:t xml:space="preserve">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en-US"/>
              </w:rPr>
              <w:t>36.120.000,00</w:t>
            </w:r>
            <w:r>
              <w:rPr>
                <w:rFonts w:hint="default" w:ascii="Cambria" w:hAnsi="Cambria" w:cs="Cambria"/>
                <w:color w:val="000000"/>
                <w:sz w:val="20"/>
                <w:szCs w:val="20"/>
              </w:rPr>
              <w:t xml:space="preserve">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en-US"/>
              </w:rPr>
            </w:pPr>
            <w:r>
              <w:rPr>
                <w:rFonts w:hint="default" w:ascii="Cambria" w:hAnsi="Cambria" w:cs="Cambria"/>
                <w:color w:val="000000"/>
                <w:sz w:val="20"/>
                <w:szCs w:val="20"/>
                <w:lang w:val="en-US"/>
              </w:rPr>
              <w:t>100</w:t>
            </w:r>
          </w:p>
        </w:tc>
      </w:tr>
      <w:tr>
        <w:tblPrEx>
          <w:tblCellMar>
            <w:top w:w="0" w:type="dxa"/>
            <w:left w:w="108" w:type="dxa"/>
            <w:bottom w:w="0" w:type="dxa"/>
            <w:right w:w="108" w:type="dxa"/>
          </w:tblCellMar>
        </w:tblPrEx>
        <w:trPr>
          <w:trHeight w:val="102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Penyelenggaraan Rapat Koordinasi dan Konsultasi SKPD</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 xml:space="preserve">Persentase peningkatan </w:t>
            </w:r>
            <w:r>
              <w:rPr>
                <w:rFonts w:hint="default" w:ascii="Cambria" w:hAnsi="Cambria" w:cs="Cambria"/>
                <w:color w:val="000000"/>
                <w:sz w:val="20"/>
                <w:szCs w:val="20"/>
              </w:rPr>
              <w:t>Penyelenggaraan Rapat Koordinasi dan Konsultasi SKPD</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Rp.42</w:t>
            </w:r>
            <w:r>
              <w:rPr>
                <w:rFonts w:hint="default" w:ascii="Cambria" w:hAnsi="Cambria" w:cs="Cambria"/>
                <w:color w:val="000000"/>
                <w:sz w:val="20"/>
                <w:szCs w:val="20"/>
                <w:lang w:val="id-ID"/>
              </w:rPr>
              <w:t>0.777.000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Rp.42</w:t>
            </w:r>
            <w:r>
              <w:rPr>
                <w:rFonts w:hint="default" w:ascii="Cambria" w:hAnsi="Cambria" w:cs="Cambria"/>
                <w:color w:val="000000"/>
                <w:sz w:val="20"/>
                <w:szCs w:val="20"/>
                <w:lang w:val="id-ID"/>
              </w:rPr>
              <w:t>0.777.000</w:t>
            </w:r>
            <w:r>
              <w:rPr>
                <w:rFonts w:hint="default" w:ascii="Cambria" w:hAnsi="Cambria" w:cs="Cambria"/>
                <w:color w:val="000000"/>
                <w:sz w:val="20"/>
                <w:szCs w:val="20"/>
              </w:rPr>
              <w:t>,00</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1020" w:hRule="atLeast"/>
        </w:trPr>
        <w:tc>
          <w:tcPr>
            <w:tcW w:w="503" w:type="dxa"/>
            <w:tcBorders>
              <w:top w:val="single" w:color="auto" w:sz="4" w:space="0"/>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2</w:t>
            </w:r>
            <w:r>
              <w:rPr>
                <w:rFonts w:hint="default" w:ascii="Cambria" w:hAnsi="Cambria" w:cs="Cambria"/>
                <w:color w:val="000000"/>
                <w:sz w:val="20"/>
                <w:szCs w:val="20"/>
                <w:lang w:val="id-ID"/>
              </w:rPr>
              <w:t>0</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Pengadaan Barang Milik Daerah Penunjang Urusan Pemerintahan Daerah</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b/>
                <w:bCs/>
                <w:color w:val="000000"/>
                <w:sz w:val="20"/>
                <w:szCs w:val="20"/>
              </w:rPr>
              <w:t>Persentase Kelancaran Administrasi Keuangan dan Operasional Perkantoran (%)</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lang w:val="en-US"/>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en-US"/>
              </w:rPr>
              <w:t>734.372.150,00</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lang w:val="en-US"/>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en-US"/>
              </w:rPr>
              <w:t>682.262.900,00</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en-US"/>
              </w:rPr>
            </w:pPr>
            <w:r>
              <w:rPr>
                <w:rFonts w:hint="default" w:ascii="Cambria" w:hAnsi="Cambria" w:cs="Cambria"/>
                <w:b/>
                <w:bCs/>
                <w:color w:val="000000"/>
                <w:sz w:val="20"/>
                <w:szCs w:val="20"/>
              </w:rPr>
              <w:t>9</w:t>
            </w:r>
            <w:r>
              <w:rPr>
                <w:rFonts w:hint="default" w:ascii="Cambria" w:hAnsi="Cambria" w:cs="Cambria"/>
                <w:b/>
                <w:bCs/>
                <w:color w:val="000000"/>
                <w:sz w:val="20"/>
                <w:szCs w:val="20"/>
                <w:lang w:val="en-US"/>
              </w:rPr>
              <w:t>2,90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b/>
                <w:bCs/>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Pengadaan Kendaraan Perorangan Dinas atau Kendaraan Dinas Jabatan</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 xml:space="preserve">Persentase peningkatan </w:t>
            </w:r>
            <w:r>
              <w:rPr>
                <w:rFonts w:hint="default" w:ascii="Cambria" w:hAnsi="Cambria" w:cs="Cambria"/>
                <w:color w:val="000000"/>
                <w:sz w:val="20"/>
                <w:szCs w:val="20"/>
              </w:rPr>
              <w:t>Pengadaan Kendaraan Perorangan Dinas atau Kendaraan Dinas Jabatan</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26.664.400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26.664.400</w:t>
            </w:r>
            <w:r>
              <w:rPr>
                <w:rFonts w:hint="default" w:ascii="Cambria" w:hAnsi="Cambria" w:cs="Cambria"/>
                <w:color w:val="000000"/>
                <w:sz w:val="20"/>
                <w:szCs w:val="20"/>
              </w:rPr>
              <w:t>,00</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100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noWrap/>
          </w:tcPr>
          <w:p>
            <w:pPr>
              <w:spacing w:after="0"/>
              <w:rPr>
                <w:rFonts w:hint="default" w:ascii="Cambria" w:hAnsi="Cambria" w:cs="Cambria"/>
                <w:color w:val="000000"/>
                <w:sz w:val="20"/>
                <w:szCs w:val="20"/>
              </w:rPr>
            </w:pPr>
            <w:r>
              <w:rPr>
                <w:rFonts w:hint="default" w:ascii="Cambria" w:hAnsi="Cambria" w:cs="Cambria"/>
                <w:color w:val="000000"/>
                <w:sz w:val="20"/>
                <w:szCs w:val="20"/>
              </w:rPr>
              <w:t>Pengadaan Mebel</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mebeleur yang disediakan</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25.530.000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25.530.000</w:t>
            </w:r>
            <w:r>
              <w:rPr>
                <w:rFonts w:hint="default" w:ascii="Cambria" w:hAnsi="Cambria" w:cs="Cambria"/>
                <w:color w:val="000000"/>
                <w:sz w:val="20"/>
                <w:szCs w:val="20"/>
              </w:rPr>
              <w:t>,00</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noWrap/>
          </w:tcPr>
          <w:p>
            <w:pPr>
              <w:spacing w:after="0"/>
              <w:rPr>
                <w:rFonts w:hint="default" w:ascii="Cambria" w:hAnsi="Cambria" w:cs="Cambria"/>
                <w:color w:val="000000"/>
                <w:sz w:val="20"/>
                <w:szCs w:val="20"/>
              </w:rPr>
            </w:pPr>
            <w:r>
              <w:rPr>
                <w:rFonts w:hint="default" w:ascii="Cambria" w:hAnsi="Cambria" w:cs="Cambria"/>
                <w:color w:val="000000"/>
                <w:sz w:val="20"/>
                <w:szCs w:val="20"/>
              </w:rPr>
              <w:t>Pengadaan Peralatan dan Mesin Lainnya</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Jumlah peralatan yang disediakan </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266.328.500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Rp.</w:t>
            </w:r>
            <w:r>
              <w:rPr>
                <w:rFonts w:hint="default" w:ascii="Cambria" w:hAnsi="Cambria" w:cs="Cambria"/>
                <w:color w:val="000000"/>
                <w:sz w:val="20"/>
                <w:szCs w:val="20"/>
                <w:lang w:val="id-ID"/>
              </w:rPr>
              <w:t>266.328.500</w:t>
            </w:r>
            <w:r>
              <w:rPr>
                <w:rFonts w:hint="default" w:ascii="Cambria" w:hAnsi="Cambria" w:cs="Cambria"/>
                <w:color w:val="000000"/>
                <w:sz w:val="20"/>
                <w:szCs w:val="20"/>
              </w:rPr>
              <w:t>,00</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Pengadaan Gedung Kantor atau Bangunan Lainnya</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Jumlah gedung dan halaman yang dibangun</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166.789.250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148.766.000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89,19</w:t>
            </w:r>
          </w:p>
        </w:tc>
      </w:tr>
      <w:tr>
        <w:tblPrEx>
          <w:tblCellMar>
            <w:top w:w="0" w:type="dxa"/>
            <w:left w:w="108" w:type="dxa"/>
            <w:bottom w:w="0" w:type="dxa"/>
            <w:right w:w="108" w:type="dxa"/>
          </w:tblCellMar>
        </w:tblPrEx>
        <w:trPr>
          <w:trHeight w:val="1020" w:hRule="atLeast"/>
        </w:trPr>
        <w:tc>
          <w:tcPr>
            <w:tcW w:w="503" w:type="dxa"/>
            <w:tcBorders>
              <w:top w:val="nil"/>
              <w:left w:val="single" w:color="auto" w:sz="4" w:space="0"/>
              <w:bottom w:val="single" w:color="auto" w:sz="4" w:space="0"/>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Pengadaan Sarana dan Prasarana Pendukung Gedung Kantor atau Bangunan Lainnya</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Jumlah sarana dan prasarana pendukung gedung kantor atau bangunan lainnya </w:t>
            </w:r>
          </w:p>
          <w:p>
            <w:pPr>
              <w:spacing w:after="0"/>
              <w:rPr>
                <w:rFonts w:hint="default" w:ascii="Cambria" w:hAnsi="Cambria" w:cs="Cambria"/>
                <w:color w:val="000000"/>
                <w:sz w:val="20"/>
                <w:szCs w:val="20"/>
              </w:rPr>
            </w:pP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249.060.000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214.974.000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86,31</w:t>
            </w:r>
          </w:p>
        </w:tc>
      </w:tr>
      <w:tr>
        <w:tblPrEx>
          <w:tblCellMar>
            <w:top w:w="0" w:type="dxa"/>
            <w:left w:w="108" w:type="dxa"/>
            <w:bottom w:w="0" w:type="dxa"/>
            <w:right w:w="108" w:type="dxa"/>
          </w:tblCellMar>
        </w:tblPrEx>
        <w:trPr>
          <w:trHeight w:val="300" w:hRule="atLeast"/>
        </w:trPr>
        <w:tc>
          <w:tcPr>
            <w:tcW w:w="503"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2</w:t>
            </w:r>
            <w:r>
              <w:rPr>
                <w:rFonts w:hint="default" w:ascii="Cambria" w:hAnsi="Cambria" w:cs="Cambria"/>
                <w:color w:val="000000"/>
                <w:sz w:val="20"/>
                <w:szCs w:val="20"/>
                <w:lang w:val="id-ID"/>
              </w:rPr>
              <w:t>1</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Penyediaan Jasa Penunjang Urusan Pemerintahan Daerah</w:t>
            </w:r>
          </w:p>
        </w:tc>
        <w:tc>
          <w:tcPr>
            <w:tcW w:w="1800" w:type="dxa"/>
            <w:tcBorders>
              <w:top w:val="single" w:color="auto" w:sz="4" w:space="0"/>
              <w:left w:val="single" w:color="auto" w:sz="4" w:space="0"/>
              <w:bottom w:val="single" w:color="auto" w:sz="4" w:space="0"/>
              <w:right w:val="single" w:color="auto" w:sz="4" w:space="0"/>
            </w:tcBorders>
            <w:shd w:val="clear" w:color="auto" w:fill="auto"/>
            <w:noWrap/>
            <w:vAlign w:val="bottom"/>
          </w:tcPr>
          <w:p>
            <w:pPr>
              <w:spacing w:after="0"/>
              <w:rPr>
                <w:rFonts w:hint="default" w:ascii="Cambria" w:hAnsi="Cambria" w:cs="Cambria"/>
                <w:b/>
                <w:bCs/>
                <w:color w:val="000000"/>
                <w:sz w:val="20"/>
                <w:szCs w:val="20"/>
                <w:lang w:val="id-ID"/>
              </w:rPr>
            </w:pPr>
            <w:r>
              <w:rPr>
                <w:rFonts w:hint="default" w:ascii="Cambria" w:hAnsi="Cambria" w:cs="Cambria"/>
                <w:b/>
                <w:bCs/>
                <w:color w:val="000000"/>
                <w:sz w:val="20"/>
                <w:szCs w:val="20"/>
                <w:lang w:val="id-ID"/>
              </w:rPr>
              <w:t>Persentase kelancaran administrasi dan operasional perkantoran</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646.575.342</w:t>
            </w:r>
            <w:r>
              <w:rPr>
                <w:rFonts w:hint="default" w:ascii="Cambria" w:hAnsi="Cambria" w:cs="Cambria"/>
                <w:b/>
                <w:bCs/>
                <w:color w:val="000000"/>
                <w:sz w:val="20"/>
                <w:szCs w:val="20"/>
              </w:rPr>
              <w:t xml:space="preserve">,00 </w:t>
            </w:r>
          </w:p>
        </w:tc>
        <w:tc>
          <w:tcPr>
            <w:tcW w:w="186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638.552.946</w:t>
            </w:r>
            <w:r>
              <w:rPr>
                <w:rFonts w:hint="default" w:ascii="Cambria" w:hAnsi="Cambria" w:cs="Cambria"/>
                <w:b/>
                <w:bCs/>
                <w:color w:val="000000"/>
                <w:sz w:val="20"/>
                <w:szCs w:val="20"/>
              </w:rPr>
              <w:t xml:space="preserve">,00 </w:t>
            </w:r>
          </w:p>
        </w:tc>
        <w:tc>
          <w:tcPr>
            <w:tcW w:w="840"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rPr>
              <w:t> </w:t>
            </w:r>
            <w:r>
              <w:rPr>
                <w:rFonts w:hint="default" w:ascii="Cambria" w:hAnsi="Cambria" w:cs="Cambria"/>
                <w:b/>
                <w:bCs/>
                <w:color w:val="000000"/>
                <w:sz w:val="20"/>
                <w:szCs w:val="20"/>
                <w:lang w:val="id-ID"/>
              </w:rPr>
              <w:t>98,76</w:t>
            </w:r>
          </w:p>
        </w:tc>
      </w:tr>
      <w:tr>
        <w:tblPrEx>
          <w:tblCellMar>
            <w:top w:w="0" w:type="dxa"/>
            <w:left w:w="108" w:type="dxa"/>
            <w:bottom w:w="0" w:type="dxa"/>
            <w:right w:w="108" w:type="dxa"/>
          </w:tblCellMar>
        </w:tblPrEx>
        <w:trPr>
          <w:trHeight w:val="510" w:hRule="atLeast"/>
        </w:trPr>
        <w:tc>
          <w:tcPr>
            <w:tcW w:w="503" w:type="dxa"/>
            <w:tcBorders>
              <w:top w:val="single" w:color="auto" w:sz="4" w:space="0"/>
              <w:left w:val="single" w:color="auto" w:sz="4" w:space="0"/>
              <w:bottom w:val="nil"/>
              <w:right w:val="nil"/>
            </w:tcBorders>
            <w:shd w:val="clear" w:color="auto" w:fill="auto"/>
            <w:noWrap/>
            <w:vAlign w:val="bottom"/>
          </w:tcPr>
          <w:p>
            <w:pPr>
              <w:spacing w:after="0"/>
              <w:jc w:val="center"/>
              <w:rPr>
                <w:rFonts w:hint="default" w:ascii="Cambria" w:hAnsi="Cambria" w:cs="Cambria"/>
                <w:b/>
                <w:bCs/>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noWrap/>
          </w:tcPr>
          <w:p>
            <w:pPr>
              <w:spacing w:after="0"/>
              <w:rPr>
                <w:rFonts w:hint="default" w:ascii="Cambria" w:hAnsi="Cambria" w:cs="Cambria"/>
                <w:color w:val="000000"/>
                <w:sz w:val="20"/>
                <w:szCs w:val="20"/>
              </w:rPr>
            </w:pPr>
            <w:r>
              <w:rPr>
                <w:rFonts w:hint="default" w:ascii="Cambria" w:hAnsi="Cambria" w:cs="Cambria"/>
                <w:color w:val="000000"/>
                <w:sz w:val="20"/>
                <w:szCs w:val="20"/>
              </w:rPr>
              <w:t>Penyediaan Jasa Surat Menyurat</w:t>
            </w:r>
          </w:p>
        </w:tc>
        <w:tc>
          <w:tcPr>
            <w:tcW w:w="1800" w:type="dxa"/>
            <w:tcBorders>
              <w:top w:val="single" w:color="auto" w:sz="4" w:space="0"/>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Pelayanan administrasi perkantoran yang baik</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5.330.000</w:t>
            </w:r>
            <w:r>
              <w:rPr>
                <w:rFonts w:hint="default" w:ascii="Cambria" w:hAnsi="Cambria" w:cs="Cambria"/>
                <w:color w:val="000000"/>
                <w:sz w:val="20"/>
                <w:szCs w:val="20"/>
              </w:rPr>
              <w:t xml:space="preserve">,00 </w:t>
            </w:r>
          </w:p>
        </w:tc>
        <w:tc>
          <w:tcPr>
            <w:tcW w:w="1860"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5.330.000</w:t>
            </w:r>
            <w:r>
              <w:rPr>
                <w:rFonts w:hint="default" w:ascii="Cambria" w:hAnsi="Cambria" w:cs="Cambria"/>
                <w:color w:val="000000"/>
                <w:sz w:val="20"/>
                <w:szCs w:val="20"/>
              </w:rPr>
              <w:t>,00</w:t>
            </w:r>
          </w:p>
        </w:tc>
        <w:tc>
          <w:tcPr>
            <w:tcW w:w="840" w:type="dxa"/>
            <w:tcBorders>
              <w:top w:val="single" w:color="auto" w:sz="4" w:space="0"/>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100</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Penyediaan Jasa Komunikasi, Sumber Daya Air dan Listrik</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Pelayanan administrasi perkantoran yang baik</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163.830.542</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161.502.546</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98,58</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noWrap/>
          </w:tcPr>
          <w:p>
            <w:pPr>
              <w:spacing w:after="0"/>
              <w:rPr>
                <w:rFonts w:hint="default" w:ascii="Cambria" w:hAnsi="Cambria" w:cs="Cambria"/>
                <w:color w:val="000000"/>
                <w:sz w:val="20"/>
                <w:szCs w:val="20"/>
              </w:rPr>
            </w:pPr>
            <w:r>
              <w:rPr>
                <w:rFonts w:hint="default" w:ascii="Cambria" w:hAnsi="Cambria" w:cs="Cambria"/>
                <w:color w:val="000000"/>
                <w:sz w:val="20"/>
                <w:szCs w:val="20"/>
              </w:rPr>
              <w:t>Penyediaan Jasa Pelayanan Umum Kantor</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peningkatan pelayanan umum kantor</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477.414.800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471.720.400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98,81</w:t>
            </w:r>
          </w:p>
        </w:tc>
      </w:tr>
      <w:tr>
        <w:tblPrEx>
          <w:tblCellMar>
            <w:top w:w="0" w:type="dxa"/>
            <w:left w:w="108" w:type="dxa"/>
            <w:bottom w:w="0" w:type="dxa"/>
            <w:right w:w="108" w:type="dxa"/>
          </w:tblCellMar>
        </w:tblPrEx>
        <w:trPr>
          <w:trHeight w:val="765" w:hRule="atLeast"/>
        </w:trPr>
        <w:tc>
          <w:tcPr>
            <w:tcW w:w="503" w:type="dxa"/>
            <w:tcBorders>
              <w:top w:val="single" w:color="auto" w:sz="4" w:space="0"/>
              <w:left w:val="single" w:color="auto" w:sz="4" w:space="0"/>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2</w:t>
            </w:r>
            <w:r>
              <w:rPr>
                <w:rFonts w:hint="default" w:ascii="Cambria" w:hAnsi="Cambria" w:cs="Cambria"/>
                <w:color w:val="000000"/>
                <w:sz w:val="20"/>
                <w:szCs w:val="20"/>
                <w:lang w:val="id-ID"/>
              </w:rPr>
              <w:t>2</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Pemeliharaan Barang Milik Daerah Penunjang Urusan Pemerntahan Daerah</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Persentase Kelancaran Administrasi Barang Milik Daerah</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309.877.000</w:t>
            </w:r>
            <w:r>
              <w:rPr>
                <w:rFonts w:hint="default" w:ascii="Cambria" w:hAnsi="Cambria" w:cs="Cambria"/>
                <w:b/>
                <w:bCs/>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b/>
                <w:bCs/>
                <w:color w:val="000000"/>
                <w:sz w:val="20"/>
                <w:szCs w:val="20"/>
              </w:rPr>
            </w:pPr>
            <w:r>
              <w:rPr>
                <w:rFonts w:hint="default" w:ascii="Cambria" w:hAnsi="Cambria" w:cs="Cambria"/>
                <w:b/>
                <w:bCs/>
                <w:color w:val="000000"/>
                <w:sz w:val="20"/>
                <w:szCs w:val="20"/>
              </w:rPr>
              <w:t xml:space="preserve"> Rp.</w:t>
            </w:r>
            <w:r>
              <w:rPr>
                <w:rFonts w:hint="default" w:ascii="Cambria" w:hAnsi="Cambria" w:cs="Cambria"/>
                <w:b/>
                <w:bCs/>
                <w:color w:val="000000"/>
                <w:sz w:val="20"/>
                <w:szCs w:val="20"/>
                <w:lang w:val="id-ID"/>
              </w:rPr>
              <w:t>309.274.500</w:t>
            </w:r>
            <w:r>
              <w:rPr>
                <w:rFonts w:hint="default" w:ascii="Cambria" w:hAnsi="Cambria" w:cs="Cambria"/>
                <w:b/>
                <w:bCs/>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b/>
                <w:bCs/>
                <w:color w:val="000000"/>
                <w:sz w:val="20"/>
                <w:szCs w:val="20"/>
                <w:lang w:val="id-ID"/>
              </w:rPr>
            </w:pPr>
            <w:r>
              <w:rPr>
                <w:rFonts w:hint="default" w:ascii="Cambria" w:hAnsi="Cambria" w:cs="Cambria"/>
                <w:b/>
                <w:bCs/>
                <w:color w:val="000000"/>
                <w:sz w:val="20"/>
                <w:szCs w:val="20"/>
              </w:rPr>
              <w:t>99,</w:t>
            </w:r>
            <w:r>
              <w:rPr>
                <w:rFonts w:hint="default" w:ascii="Cambria" w:hAnsi="Cambria" w:cs="Cambria"/>
                <w:b/>
                <w:bCs/>
                <w:color w:val="000000"/>
                <w:sz w:val="20"/>
                <w:szCs w:val="20"/>
                <w:lang w:val="id-ID"/>
              </w:rPr>
              <w:t>80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b/>
                <w:bCs/>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rPr>
              <w:t>Penyediaan Jasa Pemeliharaan, Biaya Pemeliharaan</w:t>
            </w:r>
            <w:r>
              <w:rPr>
                <w:rFonts w:hint="default" w:ascii="Cambria" w:hAnsi="Cambria" w:cs="Cambria"/>
                <w:color w:val="000000"/>
                <w:sz w:val="20"/>
                <w:szCs w:val="20"/>
                <w:lang w:val="id-ID"/>
              </w:rPr>
              <w:t xml:space="preserve">, </w:t>
            </w:r>
            <w:r>
              <w:rPr>
                <w:rFonts w:hint="default" w:ascii="Cambria" w:hAnsi="Cambria" w:cs="Cambria"/>
                <w:color w:val="000000"/>
                <w:sz w:val="20"/>
                <w:szCs w:val="20"/>
              </w:rPr>
              <w:t>Pajak</w:t>
            </w:r>
            <w:r>
              <w:rPr>
                <w:rFonts w:hint="default" w:ascii="Cambria" w:hAnsi="Cambria" w:cs="Cambria"/>
                <w:color w:val="000000"/>
                <w:sz w:val="20"/>
                <w:szCs w:val="20"/>
                <w:lang w:val="id-ID"/>
              </w:rPr>
              <w:t>, dan Perizinan</w:t>
            </w:r>
            <w:r>
              <w:rPr>
                <w:rFonts w:hint="default" w:ascii="Cambria" w:hAnsi="Cambria" w:cs="Cambria"/>
                <w:color w:val="000000"/>
                <w:sz w:val="20"/>
                <w:szCs w:val="20"/>
              </w:rPr>
              <w:t xml:space="preserve"> Kendaraan</w:t>
            </w:r>
            <w:r>
              <w:rPr>
                <w:rFonts w:hint="default" w:ascii="Cambria" w:hAnsi="Cambria" w:cs="Cambria"/>
                <w:color w:val="000000"/>
                <w:sz w:val="20"/>
                <w:szCs w:val="20"/>
                <w:lang w:val="id-ID"/>
              </w:rPr>
              <w:t xml:space="preserve"> </w:t>
            </w:r>
            <w:r>
              <w:rPr>
                <w:rFonts w:hint="default" w:ascii="Cambria" w:hAnsi="Cambria" w:cs="Cambria"/>
                <w:color w:val="000000"/>
                <w:sz w:val="20"/>
                <w:szCs w:val="20"/>
              </w:rPr>
              <w:t xml:space="preserve">Dinas </w:t>
            </w:r>
            <w:r>
              <w:rPr>
                <w:rFonts w:hint="default" w:ascii="Cambria" w:hAnsi="Cambria" w:cs="Cambria"/>
                <w:color w:val="000000"/>
                <w:sz w:val="20"/>
                <w:szCs w:val="20"/>
                <w:lang w:val="id-ID"/>
              </w:rPr>
              <w:t>Operasional atau Lapangan</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 xml:space="preserve">Persentase peningkatan </w:t>
            </w:r>
            <w:r>
              <w:rPr>
                <w:rFonts w:hint="default" w:ascii="Cambria" w:hAnsi="Cambria" w:cs="Cambria"/>
                <w:color w:val="000000"/>
                <w:sz w:val="20"/>
                <w:szCs w:val="20"/>
              </w:rPr>
              <w:t>Penyediaan Jasa Pemeliharaan, Biaya Pemeliharaan</w:t>
            </w:r>
            <w:r>
              <w:rPr>
                <w:rFonts w:hint="default" w:ascii="Cambria" w:hAnsi="Cambria" w:cs="Cambria"/>
                <w:color w:val="000000"/>
                <w:sz w:val="20"/>
                <w:szCs w:val="20"/>
                <w:lang w:val="id-ID"/>
              </w:rPr>
              <w:t xml:space="preserve">, </w:t>
            </w:r>
            <w:r>
              <w:rPr>
                <w:rFonts w:hint="default" w:ascii="Cambria" w:hAnsi="Cambria" w:cs="Cambria"/>
                <w:color w:val="000000"/>
                <w:sz w:val="20"/>
                <w:szCs w:val="20"/>
              </w:rPr>
              <w:t>Pajak</w:t>
            </w:r>
            <w:r>
              <w:rPr>
                <w:rFonts w:hint="default" w:ascii="Cambria" w:hAnsi="Cambria" w:cs="Cambria"/>
                <w:color w:val="000000"/>
                <w:sz w:val="20"/>
                <w:szCs w:val="20"/>
                <w:lang w:val="id-ID"/>
              </w:rPr>
              <w:t>, dan Perizinan</w:t>
            </w:r>
            <w:r>
              <w:rPr>
                <w:rFonts w:hint="default" w:ascii="Cambria" w:hAnsi="Cambria" w:cs="Cambria"/>
                <w:color w:val="000000"/>
                <w:sz w:val="20"/>
                <w:szCs w:val="20"/>
              </w:rPr>
              <w:t xml:space="preserve"> Kendaraan</w:t>
            </w:r>
            <w:r>
              <w:rPr>
                <w:rFonts w:hint="default" w:ascii="Cambria" w:hAnsi="Cambria" w:cs="Cambria"/>
                <w:color w:val="000000"/>
                <w:sz w:val="20"/>
                <w:szCs w:val="20"/>
                <w:lang w:val="id-ID"/>
              </w:rPr>
              <w:t xml:space="preserve"> </w:t>
            </w:r>
            <w:r>
              <w:rPr>
                <w:rFonts w:hint="default" w:ascii="Cambria" w:hAnsi="Cambria" w:cs="Cambria"/>
                <w:color w:val="000000"/>
                <w:sz w:val="20"/>
                <w:szCs w:val="20"/>
              </w:rPr>
              <w:t xml:space="preserve">Dinas </w:t>
            </w:r>
            <w:r>
              <w:rPr>
                <w:rFonts w:hint="default" w:ascii="Cambria" w:hAnsi="Cambria" w:cs="Cambria"/>
                <w:color w:val="000000"/>
                <w:sz w:val="20"/>
                <w:szCs w:val="20"/>
                <w:lang w:val="id-ID"/>
              </w:rPr>
              <w:t>Operasional atau Lapangan</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97.560.000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97.086.000</w:t>
            </w:r>
            <w:r>
              <w:rPr>
                <w:rFonts w:hint="default" w:ascii="Cambria" w:hAnsi="Cambria" w:cs="Cambria"/>
                <w:color w:val="000000"/>
                <w:sz w:val="20"/>
                <w:szCs w:val="20"/>
              </w:rPr>
              <w:t xml:space="preserve">,00 </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w:t>
            </w:r>
            <w:r>
              <w:rPr>
                <w:rFonts w:hint="default" w:ascii="Cambria" w:hAnsi="Cambria" w:cs="Cambria"/>
                <w:color w:val="000000"/>
                <w:sz w:val="20"/>
                <w:szCs w:val="20"/>
                <w:lang w:val="id-ID"/>
              </w:rPr>
              <w:t>9,51</w:t>
            </w:r>
          </w:p>
        </w:tc>
      </w:tr>
      <w:tr>
        <w:tblPrEx>
          <w:tblCellMar>
            <w:top w:w="0" w:type="dxa"/>
            <w:left w:w="108" w:type="dxa"/>
            <w:bottom w:w="0" w:type="dxa"/>
            <w:right w:w="108" w:type="dxa"/>
          </w:tblCellMar>
        </w:tblPrEx>
        <w:trPr>
          <w:trHeight w:val="765"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Pemeliharaan Peralatan dan Mesin Lainnya</w:t>
            </w:r>
          </w:p>
        </w:tc>
        <w:tc>
          <w:tcPr>
            <w:tcW w:w="1800" w:type="dxa"/>
            <w:tcBorders>
              <w:top w:val="nil"/>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 xml:space="preserve">Persentase peningkatan </w:t>
            </w:r>
            <w:r>
              <w:rPr>
                <w:rFonts w:hint="default" w:ascii="Cambria" w:hAnsi="Cambria" w:cs="Cambria"/>
                <w:color w:val="000000"/>
                <w:sz w:val="20"/>
                <w:szCs w:val="20"/>
              </w:rPr>
              <w:t>Pemeliharaan Peralatan dan Mesin Lainnya</w:t>
            </w:r>
          </w:p>
        </w:tc>
        <w:tc>
          <w:tcPr>
            <w:tcW w:w="2191" w:type="dxa"/>
            <w:tcBorders>
              <w:top w:val="nil"/>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24.010.000</w:t>
            </w:r>
            <w:r>
              <w:rPr>
                <w:rFonts w:hint="default" w:ascii="Cambria" w:hAnsi="Cambria" w:cs="Cambria"/>
                <w:color w:val="000000"/>
                <w:sz w:val="20"/>
                <w:szCs w:val="20"/>
              </w:rPr>
              <w:t xml:space="preserve">,00 </w:t>
            </w:r>
          </w:p>
        </w:tc>
        <w:tc>
          <w:tcPr>
            <w:tcW w:w="1860" w:type="dxa"/>
            <w:tcBorders>
              <w:top w:val="nil"/>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24.010.000</w:t>
            </w:r>
            <w:r>
              <w:rPr>
                <w:rFonts w:hint="default" w:ascii="Cambria" w:hAnsi="Cambria" w:cs="Cambria"/>
                <w:color w:val="000000"/>
                <w:sz w:val="20"/>
                <w:szCs w:val="20"/>
              </w:rPr>
              <w:t>,00</w:t>
            </w:r>
          </w:p>
        </w:tc>
        <w:tc>
          <w:tcPr>
            <w:tcW w:w="840" w:type="dxa"/>
            <w:tcBorders>
              <w:top w:val="nil"/>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100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r>
              <w:rPr>
                <w:rFonts w:hint="default" w:ascii="Cambria" w:hAnsi="Cambria" w:cs="Cambria"/>
                <w:color w:val="000000"/>
                <w:sz w:val="20"/>
                <w:szCs w:val="20"/>
              </w:rPr>
              <w:t> </w:t>
            </w: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rPr>
              <w:t>Pemeliharaan</w:t>
            </w:r>
            <w:r>
              <w:rPr>
                <w:rFonts w:hint="default" w:ascii="Cambria" w:hAnsi="Cambria" w:cs="Cambria"/>
                <w:color w:val="000000"/>
                <w:sz w:val="20"/>
                <w:szCs w:val="20"/>
                <w:lang w:val="id-ID"/>
              </w:rPr>
              <w:t xml:space="preserve"> Aset Tetap Lainnya</w:t>
            </w:r>
          </w:p>
        </w:tc>
        <w:tc>
          <w:tcPr>
            <w:tcW w:w="1800" w:type="dxa"/>
            <w:tcBorders>
              <w:top w:val="nil"/>
              <w:left w:val="nil"/>
              <w:bottom w:val="nil"/>
              <w:right w:val="nil"/>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Persentase peningkatan</w:t>
            </w:r>
            <w:r>
              <w:rPr>
                <w:rFonts w:hint="default" w:ascii="Cambria" w:hAnsi="Cambria" w:cs="Cambria"/>
                <w:color w:val="000000"/>
                <w:sz w:val="20"/>
                <w:szCs w:val="20"/>
              </w:rPr>
              <w:t xml:space="preserve"> Pemeliharaan</w:t>
            </w:r>
            <w:r>
              <w:rPr>
                <w:rFonts w:hint="default" w:ascii="Cambria" w:hAnsi="Cambria" w:cs="Cambria"/>
                <w:color w:val="000000"/>
                <w:sz w:val="20"/>
                <w:szCs w:val="20"/>
                <w:lang w:val="id-ID"/>
              </w:rPr>
              <w:t xml:space="preserve"> Aset Tetap Lainnya</w:t>
            </w:r>
          </w:p>
        </w:tc>
        <w:tc>
          <w:tcPr>
            <w:tcW w:w="2191" w:type="dxa"/>
            <w:tcBorders>
              <w:top w:val="nil"/>
              <w:left w:val="single" w:color="auto" w:sz="4" w:space="0"/>
              <w:bottom w:val="nil"/>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25.762.000</w:t>
            </w:r>
            <w:r>
              <w:rPr>
                <w:rFonts w:hint="default" w:ascii="Cambria" w:hAnsi="Cambria" w:cs="Cambria"/>
                <w:color w:val="000000"/>
                <w:sz w:val="20"/>
                <w:szCs w:val="20"/>
              </w:rPr>
              <w:t xml:space="preserve">,00 </w:t>
            </w:r>
          </w:p>
        </w:tc>
        <w:tc>
          <w:tcPr>
            <w:tcW w:w="1860" w:type="dxa"/>
            <w:tcBorders>
              <w:top w:val="nil"/>
              <w:left w:val="nil"/>
              <w:bottom w:val="nil"/>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rPr>
              <w:t xml:space="preserve"> Rp.</w:t>
            </w:r>
            <w:r>
              <w:rPr>
                <w:rFonts w:hint="default" w:ascii="Cambria" w:hAnsi="Cambria" w:cs="Cambria"/>
                <w:color w:val="000000"/>
                <w:sz w:val="20"/>
                <w:szCs w:val="20"/>
                <w:lang w:val="id-ID"/>
              </w:rPr>
              <w:t>25.633.500</w:t>
            </w:r>
            <w:r>
              <w:rPr>
                <w:rFonts w:hint="default" w:ascii="Cambria" w:hAnsi="Cambria" w:cs="Cambria"/>
                <w:color w:val="000000"/>
                <w:sz w:val="20"/>
                <w:szCs w:val="20"/>
              </w:rPr>
              <w:t xml:space="preserve">,00 </w:t>
            </w:r>
          </w:p>
        </w:tc>
        <w:tc>
          <w:tcPr>
            <w:tcW w:w="840" w:type="dxa"/>
            <w:tcBorders>
              <w:top w:val="nil"/>
              <w:left w:val="nil"/>
              <w:bottom w:val="nil"/>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rPr>
              <w:t>99,</w:t>
            </w:r>
            <w:r>
              <w:rPr>
                <w:rFonts w:hint="default" w:ascii="Cambria" w:hAnsi="Cambria" w:cs="Cambria"/>
                <w:color w:val="000000"/>
                <w:sz w:val="20"/>
                <w:szCs w:val="20"/>
                <w:lang w:val="id-ID"/>
              </w:rPr>
              <w:t>50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nil"/>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rPr>
            </w:pPr>
            <w:r>
              <w:rPr>
                <w:rFonts w:hint="default" w:ascii="Cambria" w:hAnsi="Cambria" w:cs="Cambria"/>
                <w:color w:val="000000"/>
                <w:sz w:val="20"/>
                <w:szCs w:val="20"/>
              </w:rPr>
              <w:t>Pemeliharaan/Rehabilitasi Gedung Kantor dan Bangunan Lainnya</w:t>
            </w:r>
          </w:p>
        </w:tc>
        <w:tc>
          <w:tcPr>
            <w:tcW w:w="1800" w:type="dxa"/>
            <w:tcBorders>
              <w:top w:val="single" w:color="auto" w:sz="4" w:space="0"/>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 xml:space="preserve">Persentase peningkatan </w:t>
            </w:r>
            <w:r>
              <w:rPr>
                <w:rFonts w:hint="default" w:ascii="Cambria" w:hAnsi="Cambria" w:cs="Cambria"/>
                <w:color w:val="000000"/>
                <w:sz w:val="20"/>
                <w:szCs w:val="20"/>
              </w:rPr>
              <w:t>Pemeliharaan/Rehabilitasi Gedung Kantor dan Bangunan Lainnya</w:t>
            </w:r>
            <w:r>
              <w:rPr>
                <w:rFonts w:hint="default" w:ascii="Cambria" w:hAnsi="Cambria" w:cs="Cambria"/>
                <w:color w:val="000000"/>
                <w:sz w:val="20"/>
                <w:szCs w:val="20"/>
                <w:lang w:val="id-ID"/>
              </w:rPr>
              <w:t xml:space="preserve"> </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Rp.81.700.000,00</w:t>
            </w:r>
          </w:p>
        </w:tc>
        <w:tc>
          <w:tcPr>
            <w:tcW w:w="1860"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Rp.81.700.000,00</w:t>
            </w:r>
          </w:p>
        </w:tc>
        <w:tc>
          <w:tcPr>
            <w:tcW w:w="840" w:type="dxa"/>
            <w:tcBorders>
              <w:top w:val="single" w:color="auto" w:sz="4" w:space="0"/>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100</w:t>
            </w:r>
          </w:p>
        </w:tc>
      </w:tr>
      <w:tr>
        <w:tblPrEx>
          <w:tblCellMar>
            <w:top w:w="0" w:type="dxa"/>
            <w:left w:w="108" w:type="dxa"/>
            <w:bottom w:w="0" w:type="dxa"/>
            <w:right w:w="108" w:type="dxa"/>
          </w:tblCellMar>
        </w:tblPrEx>
        <w:trPr>
          <w:trHeight w:val="510" w:hRule="atLeast"/>
        </w:trPr>
        <w:tc>
          <w:tcPr>
            <w:tcW w:w="503" w:type="dxa"/>
            <w:tcBorders>
              <w:top w:val="nil"/>
              <w:left w:val="single" w:color="auto" w:sz="4" w:space="0"/>
              <w:bottom w:val="single" w:color="auto" w:sz="4" w:space="0"/>
              <w:right w:val="nil"/>
            </w:tcBorders>
            <w:shd w:val="clear" w:color="auto" w:fill="auto"/>
            <w:noWrap/>
            <w:vAlign w:val="bottom"/>
          </w:tcPr>
          <w:p>
            <w:pPr>
              <w:spacing w:after="0"/>
              <w:jc w:val="center"/>
              <w:rPr>
                <w:rFonts w:hint="default" w:ascii="Cambria" w:hAnsi="Cambria" w:cs="Cambria"/>
                <w:color w:val="000000"/>
                <w:sz w:val="20"/>
                <w:szCs w:val="20"/>
              </w:rPr>
            </w:pPr>
          </w:p>
        </w:tc>
        <w:tc>
          <w:tcPr>
            <w:tcW w:w="2354" w:type="dxa"/>
            <w:tcBorders>
              <w:top w:val="single" w:color="auto" w:sz="4" w:space="0"/>
              <w:left w:val="single" w:color="auto" w:sz="4" w:space="0"/>
              <w:bottom w:val="single" w:color="auto" w:sz="4" w:space="0"/>
              <w:right w:val="single" w:color="auto" w:sz="4" w:space="0"/>
            </w:tcBorders>
            <w:shd w:val="clear" w:color="auto" w:fill="auto"/>
          </w:tcPr>
          <w:p>
            <w:pPr>
              <w:spacing w:after="0"/>
              <w:rPr>
                <w:rFonts w:hint="default" w:ascii="Cambria" w:hAnsi="Cambria" w:cs="Cambria"/>
                <w:color w:val="000000"/>
                <w:sz w:val="20"/>
                <w:szCs w:val="20"/>
                <w:lang w:val="id-ID"/>
              </w:rPr>
            </w:pPr>
            <w:r>
              <w:rPr>
                <w:rFonts w:hint="default" w:ascii="Cambria" w:hAnsi="Cambria" w:cs="Cambria"/>
                <w:color w:val="000000"/>
                <w:sz w:val="20"/>
                <w:szCs w:val="20"/>
              </w:rPr>
              <w:t xml:space="preserve">Pemeliharaan/Rehabilitasi </w:t>
            </w:r>
            <w:r>
              <w:rPr>
                <w:rFonts w:hint="default" w:ascii="Cambria" w:hAnsi="Cambria" w:cs="Cambria"/>
                <w:color w:val="000000"/>
                <w:sz w:val="20"/>
                <w:szCs w:val="20"/>
                <w:lang w:val="id-ID"/>
              </w:rPr>
              <w:t>Sarana dan Prasarana Pendukung Gedung Kantor atau Bangunan Lainnya</w:t>
            </w:r>
          </w:p>
        </w:tc>
        <w:tc>
          <w:tcPr>
            <w:tcW w:w="1800" w:type="dxa"/>
            <w:tcBorders>
              <w:top w:val="single" w:color="auto" w:sz="4" w:space="0"/>
              <w:left w:val="nil"/>
              <w:bottom w:val="single" w:color="auto" w:sz="4" w:space="0"/>
              <w:right w:val="nil"/>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 xml:space="preserve">Persentase peningkatan </w:t>
            </w:r>
            <w:r>
              <w:rPr>
                <w:rFonts w:hint="default" w:ascii="Cambria" w:hAnsi="Cambria" w:cs="Cambria"/>
                <w:color w:val="000000"/>
                <w:sz w:val="20"/>
                <w:szCs w:val="20"/>
              </w:rPr>
              <w:t xml:space="preserve">Pemeliharaan/Rehabilitasi </w:t>
            </w:r>
            <w:r>
              <w:rPr>
                <w:rFonts w:hint="default" w:ascii="Cambria" w:hAnsi="Cambria" w:cs="Cambria"/>
                <w:color w:val="000000"/>
                <w:sz w:val="20"/>
                <w:szCs w:val="20"/>
                <w:lang w:val="id-ID"/>
              </w:rPr>
              <w:t>Sarana dan Prasarana Pendukung Gedung Kantor atau Bangunan Lainnya</w:t>
            </w:r>
          </w:p>
        </w:tc>
        <w:tc>
          <w:tcPr>
            <w:tcW w:w="2191"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lang w:val="id-ID"/>
              </w:rPr>
            </w:pPr>
            <w:r>
              <w:rPr>
                <w:rFonts w:hint="default" w:ascii="Cambria" w:hAnsi="Cambria" w:cs="Cambria"/>
                <w:color w:val="000000"/>
                <w:sz w:val="20"/>
                <w:szCs w:val="20"/>
                <w:lang w:val="id-ID"/>
              </w:rPr>
              <w:t>Rp.80.845.000,00</w:t>
            </w:r>
          </w:p>
        </w:tc>
        <w:tc>
          <w:tcPr>
            <w:tcW w:w="1860" w:type="dxa"/>
            <w:tcBorders>
              <w:top w:val="single" w:color="auto" w:sz="4" w:space="0"/>
              <w:left w:val="nil"/>
              <w:bottom w:val="single" w:color="auto" w:sz="4" w:space="0"/>
              <w:right w:val="single" w:color="auto" w:sz="4" w:space="0"/>
            </w:tcBorders>
            <w:shd w:val="clear" w:color="auto" w:fill="auto"/>
            <w:vAlign w:val="center"/>
          </w:tcPr>
          <w:p>
            <w:pPr>
              <w:spacing w:after="0"/>
              <w:rPr>
                <w:rFonts w:hint="default" w:ascii="Cambria" w:hAnsi="Cambria" w:cs="Cambria"/>
                <w:color w:val="000000"/>
                <w:sz w:val="20"/>
                <w:szCs w:val="20"/>
              </w:rPr>
            </w:pPr>
            <w:r>
              <w:rPr>
                <w:rFonts w:hint="default" w:ascii="Cambria" w:hAnsi="Cambria" w:cs="Cambria"/>
                <w:color w:val="000000"/>
                <w:sz w:val="20"/>
                <w:szCs w:val="20"/>
                <w:lang w:val="id-ID"/>
              </w:rPr>
              <w:t>Rp.80.845.000,00</w:t>
            </w:r>
          </w:p>
        </w:tc>
        <w:tc>
          <w:tcPr>
            <w:tcW w:w="840" w:type="dxa"/>
            <w:tcBorders>
              <w:top w:val="single" w:color="auto" w:sz="4" w:space="0"/>
              <w:left w:val="nil"/>
              <w:bottom w:val="single" w:color="auto" w:sz="4" w:space="0"/>
              <w:right w:val="single" w:color="auto" w:sz="4" w:space="0"/>
            </w:tcBorders>
            <w:shd w:val="clear" w:color="auto" w:fill="auto"/>
            <w:noWrap/>
            <w:vAlign w:val="center"/>
          </w:tcPr>
          <w:p>
            <w:pPr>
              <w:spacing w:after="0"/>
              <w:jc w:val="center"/>
              <w:rPr>
                <w:rFonts w:hint="default" w:ascii="Cambria" w:hAnsi="Cambria" w:cs="Cambria"/>
                <w:color w:val="000000"/>
                <w:sz w:val="20"/>
                <w:szCs w:val="20"/>
                <w:lang w:val="id-ID"/>
              </w:rPr>
            </w:pPr>
            <w:r>
              <w:rPr>
                <w:rFonts w:hint="default" w:ascii="Cambria" w:hAnsi="Cambria" w:cs="Cambria"/>
                <w:color w:val="000000"/>
                <w:sz w:val="20"/>
                <w:szCs w:val="20"/>
                <w:lang w:val="id-ID"/>
              </w:rPr>
              <w:t>100</w:t>
            </w:r>
          </w:p>
        </w:tc>
      </w:tr>
    </w:tbl>
    <w:p>
      <w:pPr>
        <w:spacing w:after="0" w:line="360" w:lineRule="auto"/>
        <w:rPr>
          <w:rFonts w:hint="default" w:ascii="Cambria" w:hAnsi="Cambria" w:cs="Cambria"/>
          <w:b/>
          <w:sz w:val="24"/>
          <w:szCs w:val="24"/>
        </w:rPr>
      </w:pPr>
    </w:p>
    <w:p>
      <w:pPr>
        <w:pStyle w:val="19"/>
        <w:spacing w:line="360" w:lineRule="auto"/>
        <w:ind w:left="426" w:firstLine="992"/>
        <w:jc w:val="both"/>
        <w:rPr>
          <w:rFonts w:hint="default" w:ascii="Cambria" w:hAnsi="Cambria" w:cs="Cambria"/>
          <w:sz w:val="24"/>
          <w:szCs w:val="24"/>
        </w:rPr>
      </w:pPr>
      <w:r>
        <w:rPr>
          <w:rFonts w:hint="default" w:ascii="Cambria" w:hAnsi="Cambria" w:cs="Cambria"/>
          <w:sz w:val="24"/>
          <w:szCs w:val="24"/>
        </w:rPr>
        <w:t xml:space="preserve">Secara umum anggaran Dinas Perindustrian, Perdagangam Koperasi dan UKM Kabupaten Kepulauan Selayar berasal dari tiga sumber yaitu APBD Kabupaten Kepulauan Selayar, APBD Propinsi Sulawesi Selatan dan APBN melalui dana dekonsentrasi Kementrian Perindustrian, Kementrian Perdagangan dan Kementrian Koperasi dan UKM. </w:t>
      </w:r>
    </w:p>
    <w:p>
      <w:pPr>
        <w:spacing w:after="0" w:line="360" w:lineRule="auto"/>
        <w:ind w:left="426" w:firstLine="992"/>
        <w:jc w:val="both"/>
        <w:rPr>
          <w:rFonts w:hint="default" w:ascii="Cambria" w:hAnsi="Cambria" w:cs="Cambria"/>
          <w:sz w:val="24"/>
          <w:szCs w:val="24"/>
        </w:rPr>
      </w:pPr>
      <w:r>
        <w:rPr>
          <w:rFonts w:hint="default" w:ascii="Cambria" w:hAnsi="Cambria" w:cs="Cambria"/>
          <w:sz w:val="24"/>
          <w:szCs w:val="24"/>
        </w:rPr>
        <w:t>Selain itu pelaksanaan program dan kegiatan Dinas Perindustrian, Perdagangam Koperasi Usaha Kecil dan Menengah Kabupaten Kepulauan Selayar memberikan kontribusi pendapatan dibidang Perdagangan melalui retribusi pasar dan layanan tera/tera ulang.</w:t>
      </w:r>
    </w:p>
    <w:p>
      <w:pPr>
        <w:spacing w:after="0" w:line="360" w:lineRule="auto"/>
        <w:ind w:left="426" w:firstLine="992"/>
        <w:jc w:val="both"/>
        <w:rPr>
          <w:rFonts w:hint="default" w:ascii="Cambria" w:hAnsi="Cambria" w:cs="Cambria"/>
          <w:sz w:val="24"/>
          <w:szCs w:val="24"/>
        </w:rPr>
      </w:pPr>
    </w:p>
    <w:p>
      <w:pPr>
        <w:pStyle w:val="13"/>
        <w:numPr>
          <w:ilvl w:val="0"/>
          <w:numId w:val="49"/>
        </w:numPr>
        <w:spacing w:after="0" w:line="360" w:lineRule="auto"/>
        <w:ind w:left="851" w:hanging="425"/>
        <w:jc w:val="both"/>
        <w:rPr>
          <w:rFonts w:hint="default" w:ascii="Cambria" w:hAnsi="Cambria" w:cs="Cambria"/>
          <w:b/>
          <w:sz w:val="24"/>
          <w:szCs w:val="24"/>
        </w:rPr>
      </w:pPr>
      <w:r>
        <w:rPr>
          <w:rFonts w:hint="default" w:ascii="Cambria" w:hAnsi="Cambria" w:cs="Cambria"/>
          <w:b/>
          <w:sz w:val="24"/>
          <w:szCs w:val="24"/>
        </w:rPr>
        <w:t>Pendapatan Asli Daerah</w:t>
      </w:r>
    </w:p>
    <w:p>
      <w:pPr>
        <w:pStyle w:val="19"/>
        <w:tabs>
          <w:tab w:val="left" w:pos="2552"/>
        </w:tabs>
        <w:spacing w:line="360" w:lineRule="auto"/>
        <w:jc w:val="center"/>
        <w:rPr>
          <w:rFonts w:hint="default" w:ascii="Cambria" w:hAnsi="Cambria" w:cs="Cambria"/>
          <w:color w:val="auto"/>
          <w:sz w:val="24"/>
          <w:szCs w:val="24"/>
        </w:rPr>
      </w:pPr>
      <w:r>
        <w:rPr>
          <w:rFonts w:hint="default" w:ascii="Cambria" w:hAnsi="Cambria" w:cs="Cambria"/>
          <w:color w:val="auto"/>
          <w:sz w:val="24"/>
          <w:szCs w:val="24"/>
        </w:rPr>
        <w:t>Tabel 3.3.2</w:t>
      </w:r>
    </w:p>
    <w:p>
      <w:pPr>
        <w:pStyle w:val="19"/>
        <w:tabs>
          <w:tab w:val="left" w:pos="2552"/>
        </w:tabs>
        <w:spacing w:line="360" w:lineRule="auto"/>
        <w:jc w:val="center"/>
        <w:rPr>
          <w:rFonts w:hint="default" w:ascii="Cambria" w:hAnsi="Cambria" w:cs="Cambria"/>
          <w:color w:val="auto"/>
          <w:sz w:val="24"/>
          <w:szCs w:val="24"/>
        </w:rPr>
      </w:pPr>
      <w:r>
        <w:rPr>
          <w:rFonts w:hint="default" w:ascii="Cambria" w:hAnsi="Cambria" w:cs="Cambria"/>
          <w:color w:val="auto"/>
          <w:sz w:val="24"/>
          <w:szCs w:val="24"/>
        </w:rPr>
        <w:t>Pendapatan Asli Daerah Tahun 2022</w:t>
      </w:r>
    </w:p>
    <w:tbl>
      <w:tblPr>
        <w:tblStyle w:val="3"/>
        <w:tblW w:w="7938" w:type="dxa"/>
        <w:tblInd w:w="492" w:type="dxa"/>
        <w:tblLayout w:type="autofit"/>
        <w:tblCellMar>
          <w:top w:w="0" w:type="dxa"/>
          <w:left w:w="108" w:type="dxa"/>
          <w:bottom w:w="0" w:type="dxa"/>
          <w:right w:w="108" w:type="dxa"/>
        </w:tblCellMar>
      </w:tblPr>
      <w:tblGrid>
        <w:gridCol w:w="584"/>
        <w:gridCol w:w="2568"/>
        <w:gridCol w:w="1633"/>
        <w:gridCol w:w="1633"/>
        <w:gridCol w:w="1520"/>
      </w:tblGrid>
      <w:tr>
        <w:tblPrEx>
          <w:tblCellMar>
            <w:top w:w="0" w:type="dxa"/>
            <w:left w:w="108" w:type="dxa"/>
            <w:bottom w:w="0" w:type="dxa"/>
            <w:right w:w="108" w:type="dxa"/>
          </w:tblCellMar>
        </w:tblPrEx>
        <w:trPr>
          <w:trHeight w:val="600" w:hRule="atLeast"/>
        </w:trPr>
        <w:tc>
          <w:tcPr>
            <w:tcW w:w="584" w:type="dxa"/>
            <w:tcBorders>
              <w:top w:val="double" w:color="auto" w:sz="6" w:space="0"/>
              <w:left w:val="double" w:color="auto" w:sz="6" w:space="0"/>
              <w:bottom w:val="double" w:color="auto" w:sz="6" w:space="0"/>
              <w:right w:val="double" w:color="auto" w:sz="6" w:space="0"/>
            </w:tcBorders>
            <w:shd w:val="clear" w:color="000000" w:fill="FAC090"/>
            <w:vAlign w:val="center"/>
          </w:tcPr>
          <w:p>
            <w:pPr>
              <w:spacing w:after="0"/>
              <w:ind w:left="45"/>
              <w:jc w:val="center"/>
              <w:rPr>
                <w:rFonts w:hint="default" w:ascii="Cambria" w:hAnsi="Cambria" w:cs="Cambria"/>
                <w:b/>
                <w:bCs/>
                <w:sz w:val="20"/>
                <w:szCs w:val="20"/>
              </w:rPr>
            </w:pPr>
            <w:r>
              <w:rPr>
                <w:rFonts w:hint="default" w:ascii="Cambria" w:hAnsi="Cambria" w:cs="Cambria"/>
                <w:b/>
                <w:bCs/>
                <w:sz w:val="20"/>
                <w:szCs w:val="20"/>
              </w:rPr>
              <w:t>No</w:t>
            </w:r>
          </w:p>
        </w:tc>
        <w:tc>
          <w:tcPr>
            <w:tcW w:w="2568" w:type="dxa"/>
            <w:tcBorders>
              <w:top w:val="double" w:color="auto" w:sz="6" w:space="0"/>
              <w:left w:val="nil"/>
              <w:bottom w:val="double" w:color="auto" w:sz="6" w:space="0"/>
              <w:right w:val="double" w:color="auto" w:sz="6" w:space="0"/>
            </w:tcBorders>
            <w:shd w:val="clear" w:color="000000" w:fill="FAC090"/>
            <w:vAlign w:val="center"/>
          </w:tcPr>
          <w:p>
            <w:pPr>
              <w:spacing w:after="0"/>
              <w:jc w:val="center"/>
              <w:rPr>
                <w:rFonts w:hint="default" w:ascii="Cambria" w:hAnsi="Cambria" w:cs="Cambria"/>
                <w:b/>
                <w:bCs/>
                <w:sz w:val="20"/>
                <w:szCs w:val="20"/>
              </w:rPr>
            </w:pPr>
            <w:r>
              <w:rPr>
                <w:rFonts w:hint="default" w:ascii="Cambria" w:hAnsi="Cambria" w:cs="Cambria"/>
                <w:b/>
                <w:bCs/>
                <w:sz w:val="20"/>
                <w:szCs w:val="20"/>
              </w:rPr>
              <w:t>Sumber</w:t>
            </w:r>
          </w:p>
        </w:tc>
        <w:tc>
          <w:tcPr>
            <w:tcW w:w="1633" w:type="dxa"/>
            <w:tcBorders>
              <w:top w:val="double" w:color="auto" w:sz="6" w:space="0"/>
              <w:left w:val="nil"/>
              <w:bottom w:val="double" w:color="auto" w:sz="6" w:space="0"/>
              <w:right w:val="double" w:color="auto" w:sz="6" w:space="0"/>
            </w:tcBorders>
            <w:shd w:val="clear" w:color="000000" w:fill="FAC090"/>
            <w:vAlign w:val="center"/>
          </w:tcPr>
          <w:p>
            <w:pPr>
              <w:spacing w:after="0"/>
              <w:jc w:val="center"/>
              <w:rPr>
                <w:rFonts w:hint="default" w:ascii="Cambria" w:hAnsi="Cambria" w:cs="Cambria"/>
                <w:b/>
                <w:bCs/>
                <w:sz w:val="20"/>
                <w:szCs w:val="20"/>
              </w:rPr>
            </w:pPr>
            <w:r>
              <w:rPr>
                <w:rFonts w:hint="default" w:ascii="Cambria" w:hAnsi="Cambria" w:cs="Cambria"/>
                <w:b/>
                <w:bCs/>
                <w:sz w:val="20"/>
                <w:szCs w:val="20"/>
              </w:rPr>
              <w:t>Target</w:t>
            </w:r>
          </w:p>
        </w:tc>
        <w:tc>
          <w:tcPr>
            <w:tcW w:w="1633" w:type="dxa"/>
            <w:tcBorders>
              <w:top w:val="double" w:color="auto" w:sz="6" w:space="0"/>
              <w:left w:val="nil"/>
              <w:bottom w:val="double" w:color="auto" w:sz="6" w:space="0"/>
              <w:right w:val="double" w:color="auto" w:sz="6" w:space="0"/>
            </w:tcBorders>
            <w:shd w:val="clear" w:color="000000" w:fill="FAC090"/>
            <w:vAlign w:val="center"/>
          </w:tcPr>
          <w:p>
            <w:pPr>
              <w:spacing w:after="0"/>
              <w:jc w:val="center"/>
              <w:rPr>
                <w:rFonts w:hint="default" w:ascii="Cambria" w:hAnsi="Cambria" w:cs="Cambria"/>
                <w:b/>
                <w:bCs/>
                <w:sz w:val="20"/>
                <w:szCs w:val="20"/>
              </w:rPr>
            </w:pPr>
            <w:r>
              <w:rPr>
                <w:rFonts w:hint="default" w:ascii="Cambria" w:hAnsi="Cambria" w:cs="Cambria"/>
                <w:b/>
                <w:bCs/>
                <w:sz w:val="20"/>
                <w:szCs w:val="20"/>
              </w:rPr>
              <w:t>Realisasi</w:t>
            </w:r>
          </w:p>
        </w:tc>
        <w:tc>
          <w:tcPr>
            <w:tcW w:w="1520" w:type="dxa"/>
            <w:tcBorders>
              <w:top w:val="double" w:color="auto" w:sz="6" w:space="0"/>
              <w:left w:val="nil"/>
              <w:bottom w:val="double" w:color="auto" w:sz="6" w:space="0"/>
              <w:right w:val="double" w:color="auto" w:sz="6" w:space="0"/>
            </w:tcBorders>
            <w:shd w:val="clear" w:color="000000" w:fill="FAC090"/>
            <w:vAlign w:val="center"/>
          </w:tcPr>
          <w:p>
            <w:pPr>
              <w:spacing w:after="0"/>
              <w:jc w:val="center"/>
              <w:rPr>
                <w:rFonts w:hint="default" w:ascii="Cambria" w:hAnsi="Cambria" w:cs="Cambria"/>
                <w:b/>
                <w:bCs/>
                <w:sz w:val="20"/>
                <w:szCs w:val="20"/>
              </w:rPr>
            </w:pPr>
          </w:p>
          <w:p>
            <w:pPr>
              <w:spacing w:after="0"/>
              <w:jc w:val="center"/>
              <w:rPr>
                <w:rFonts w:hint="default" w:ascii="Cambria" w:hAnsi="Cambria" w:cs="Cambria"/>
                <w:b/>
                <w:bCs/>
                <w:sz w:val="20"/>
                <w:szCs w:val="20"/>
              </w:rPr>
            </w:pPr>
            <w:r>
              <w:rPr>
                <w:rFonts w:hint="default" w:ascii="Cambria" w:hAnsi="Cambria" w:cs="Cambria"/>
                <w:b/>
                <w:bCs/>
                <w:sz w:val="20"/>
                <w:szCs w:val="20"/>
              </w:rPr>
              <w:t>Capaian (%)</w:t>
            </w:r>
          </w:p>
          <w:p>
            <w:pPr>
              <w:spacing w:after="0"/>
              <w:jc w:val="center"/>
              <w:rPr>
                <w:rFonts w:hint="default" w:ascii="Cambria" w:hAnsi="Cambria" w:cs="Cambria"/>
                <w:b/>
                <w:bCs/>
                <w:sz w:val="20"/>
                <w:szCs w:val="20"/>
              </w:rPr>
            </w:pPr>
          </w:p>
        </w:tc>
      </w:tr>
      <w:tr>
        <w:tblPrEx>
          <w:tblCellMar>
            <w:top w:w="0" w:type="dxa"/>
            <w:left w:w="108" w:type="dxa"/>
            <w:bottom w:w="0" w:type="dxa"/>
            <w:right w:w="108" w:type="dxa"/>
          </w:tblCellMar>
        </w:tblPrEx>
        <w:trPr>
          <w:trHeight w:val="315" w:hRule="atLeast"/>
        </w:trPr>
        <w:tc>
          <w:tcPr>
            <w:tcW w:w="584" w:type="dxa"/>
            <w:tcBorders>
              <w:top w:val="nil"/>
              <w:left w:val="double" w:color="auto" w:sz="6" w:space="0"/>
              <w:bottom w:val="nil"/>
              <w:right w:val="double" w:color="auto" w:sz="6" w:space="0"/>
            </w:tcBorders>
            <w:shd w:val="clear" w:color="auto" w:fill="auto"/>
            <w:vAlign w:val="center"/>
          </w:tcPr>
          <w:p>
            <w:pPr>
              <w:spacing w:after="0"/>
              <w:jc w:val="center"/>
              <w:rPr>
                <w:rFonts w:hint="default" w:ascii="Cambria" w:hAnsi="Cambria" w:cs="Cambria"/>
                <w:sz w:val="20"/>
                <w:szCs w:val="20"/>
              </w:rPr>
            </w:pPr>
            <w:r>
              <w:rPr>
                <w:rFonts w:hint="default" w:ascii="Cambria" w:hAnsi="Cambria" w:cs="Cambria"/>
                <w:sz w:val="20"/>
                <w:szCs w:val="20"/>
              </w:rPr>
              <w:t>1.</w:t>
            </w:r>
          </w:p>
        </w:tc>
        <w:tc>
          <w:tcPr>
            <w:tcW w:w="2568" w:type="dxa"/>
            <w:tcBorders>
              <w:top w:val="nil"/>
              <w:left w:val="nil"/>
              <w:bottom w:val="nil"/>
              <w:right w:val="double" w:color="auto" w:sz="6" w:space="0"/>
            </w:tcBorders>
            <w:shd w:val="clear" w:color="auto" w:fill="auto"/>
            <w:vAlign w:val="center"/>
          </w:tcPr>
          <w:p>
            <w:pPr>
              <w:spacing w:after="0"/>
              <w:jc w:val="center"/>
              <w:rPr>
                <w:rFonts w:hint="default" w:ascii="Cambria" w:hAnsi="Cambria" w:cs="Cambria"/>
                <w:sz w:val="20"/>
                <w:szCs w:val="20"/>
              </w:rPr>
            </w:pPr>
          </w:p>
          <w:p>
            <w:pPr>
              <w:spacing w:after="0"/>
              <w:jc w:val="center"/>
              <w:rPr>
                <w:rFonts w:hint="default" w:ascii="Cambria" w:hAnsi="Cambria" w:cs="Cambria"/>
                <w:sz w:val="20"/>
                <w:szCs w:val="20"/>
              </w:rPr>
            </w:pPr>
            <w:r>
              <w:rPr>
                <w:rFonts w:hint="default" w:ascii="Cambria" w:hAnsi="Cambria" w:cs="Cambria"/>
                <w:sz w:val="20"/>
                <w:szCs w:val="20"/>
              </w:rPr>
              <w:t>Reribusi Pelayanan Pasar</w:t>
            </w:r>
          </w:p>
        </w:tc>
        <w:tc>
          <w:tcPr>
            <w:tcW w:w="1633" w:type="dxa"/>
            <w:tcBorders>
              <w:top w:val="nil"/>
              <w:left w:val="nil"/>
              <w:bottom w:val="nil"/>
              <w:right w:val="double" w:color="auto" w:sz="6" w:space="0"/>
            </w:tcBorders>
            <w:shd w:val="clear" w:color="auto" w:fill="auto"/>
            <w:vAlign w:val="center"/>
          </w:tcPr>
          <w:p>
            <w:pPr>
              <w:spacing w:after="0"/>
              <w:jc w:val="center"/>
              <w:rPr>
                <w:rFonts w:hint="default" w:ascii="Cambria" w:hAnsi="Cambria" w:cs="Cambria"/>
                <w:sz w:val="20"/>
                <w:szCs w:val="20"/>
              </w:rPr>
            </w:pPr>
            <w:r>
              <w:rPr>
                <w:rFonts w:hint="default" w:ascii="Cambria" w:hAnsi="Cambria" w:cs="Cambria"/>
                <w:sz w:val="20"/>
                <w:szCs w:val="20"/>
              </w:rPr>
              <w:t>500.000.000</w:t>
            </w:r>
          </w:p>
        </w:tc>
        <w:tc>
          <w:tcPr>
            <w:tcW w:w="1633" w:type="dxa"/>
            <w:tcBorders>
              <w:top w:val="nil"/>
              <w:left w:val="nil"/>
              <w:bottom w:val="nil"/>
              <w:right w:val="double" w:color="auto" w:sz="6" w:space="0"/>
            </w:tcBorders>
            <w:shd w:val="clear" w:color="auto" w:fill="auto"/>
            <w:vAlign w:val="center"/>
          </w:tcPr>
          <w:p>
            <w:pPr>
              <w:spacing w:after="0"/>
              <w:jc w:val="center"/>
              <w:rPr>
                <w:rFonts w:hint="default" w:ascii="Cambria" w:hAnsi="Cambria" w:cs="Cambria"/>
                <w:sz w:val="20"/>
                <w:szCs w:val="20"/>
              </w:rPr>
            </w:pPr>
            <w:r>
              <w:rPr>
                <w:rFonts w:hint="default" w:ascii="Cambria" w:hAnsi="Cambria" w:cs="Cambria"/>
                <w:sz w:val="20"/>
                <w:szCs w:val="20"/>
              </w:rPr>
              <w:t>174.392.450</w:t>
            </w:r>
          </w:p>
        </w:tc>
        <w:tc>
          <w:tcPr>
            <w:tcW w:w="1520" w:type="dxa"/>
            <w:tcBorders>
              <w:top w:val="nil"/>
              <w:left w:val="nil"/>
              <w:bottom w:val="nil"/>
              <w:right w:val="double" w:color="auto" w:sz="6" w:space="0"/>
            </w:tcBorders>
            <w:vAlign w:val="center"/>
          </w:tcPr>
          <w:p>
            <w:pPr>
              <w:spacing w:after="0"/>
              <w:jc w:val="center"/>
              <w:rPr>
                <w:rFonts w:hint="default" w:ascii="Cambria" w:hAnsi="Cambria" w:cs="Cambria"/>
                <w:sz w:val="20"/>
                <w:szCs w:val="20"/>
              </w:rPr>
            </w:pPr>
          </w:p>
          <w:p>
            <w:pPr>
              <w:spacing w:after="0"/>
              <w:jc w:val="center"/>
              <w:rPr>
                <w:rFonts w:hint="default" w:ascii="Cambria" w:hAnsi="Cambria" w:cs="Cambria"/>
                <w:sz w:val="20"/>
                <w:szCs w:val="20"/>
              </w:rPr>
            </w:pPr>
            <w:r>
              <w:rPr>
                <w:rFonts w:hint="default" w:ascii="Cambria" w:hAnsi="Cambria" w:cs="Cambria"/>
                <w:sz w:val="20"/>
                <w:szCs w:val="20"/>
              </w:rPr>
              <w:t>34,87</w:t>
            </w:r>
          </w:p>
        </w:tc>
      </w:tr>
      <w:tr>
        <w:tblPrEx>
          <w:tblCellMar>
            <w:top w:w="0" w:type="dxa"/>
            <w:left w:w="108" w:type="dxa"/>
            <w:bottom w:w="0" w:type="dxa"/>
            <w:right w:w="108" w:type="dxa"/>
          </w:tblCellMar>
        </w:tblPrEx>
        <w:trPr>
          <w:trHeight w:val="519" w:hRule="atLeast"/>
        </w:trPr>
        <w:tc>
          <w:tcPr>
            <w:tcW w:w="584" w:type="dxa"/>
            <w:tcBorders>
              <w:top w:val="nil"/>
              <w:left w:val="double" w:color="auto" w:sz="6" w:space="0"/>
              <w:bottom w:val="double" w:color="auto" w:sz="6" w:space="0"/>
              <w:right w:val="double" w:color="auto" w:sz="6" w:space="0"/>
            </w:tcBorders>
            <w:shd w:val="clear" w:color="auto" w:fill="auto"/>
            <w:vAlign w:val="center"/>
          </w:tcPr>
          <w:p>
            <w:pPr>
              <w:spacing w:after="0"/>
              <w:jc w:val="center"/>
              <w:rPr>
                <w:rFonts w:hint="default" w:ascii="Cambria" w:hAnsi="Cambria" w:cs="Cambria"/>
                <w:sz w:val="20"/>
                <w:szCs w:val="20"/>
              </w:rPr>
            </w:pPr>
            <w:r>
              <w:rPr>
                <w:rFonts w:hint="default" w:ascii="Cambria" w:hAnsi="Cambria" w:cs="Cambria"/>
                <w:sz w:val="20"/>
                <w:szCs w:val="20"/>
              </w:rPr>
              <w:t>2.</w:t>
            </w:r>
          </w:p>
          <w:p>
            <w:pPr>
              <w:spacing w:after="0"/>
              <w:jc w:val="center"/>
              <w:rPr>
                <w:rFonts w:hint="default" w:ascii="Cambria" w:hAnsi="Cambria" w:cs="Cambria"/>
                <w:sz w:val="20"/>
                <w:szCs w:val="20"/>
              </w:rPr>
            </w:pPr>
          </w:p>
        </w:tc>
        <w:tc>
          <w:tcPr>
            <w:tcW w:w="2568" w:type="dxa"/>
            <w:tcBorders>
              <w:top w:val="nil"/>
              <w:left w:val="nil"/>
              <w:bottom w:val="double" w:color="auto" w:sz="6" w:space="0"/>
              <w:right w:val="double" w:color="auto" w:sz="6" w:space="0"/>
            </w:tcBorders>
            <w:shd w:val="clear" w:color="auto" w:fill="auto"/>
            <w:vAlign w:val="center"/>
          </w:tcPr>
          <w:p>
            <w:pPr>
              <w:spacing w:after="0"/>
              <w:jc w:val="center"/>
              <w:rPr>
                <w:rFonts w:hint="default" w:ascii="Cambria" w:hAnsi="Cambria" w:cs="Cambria"/>
                <w:sz w:val="20"/>
                <w:szCs w:val="20"/>
              </w:rPr>
            </w:pPr>
          </w:p>
          <w:p>
            <w:pPr>
              <w:spacing w:after="0"/>
              <w:jc w:val="center"/>
              <w:rPr>
                <w:rFonts w:hint="default" w:ascii="Cambria" w:hAnsi="Cambria" w:cs="Cambria"/>
                <w:sz w:val="20"/>
                <w:szCs w:val="20"/>
              </w:rPr>
            </w:pPr>
            <w:r>
              <w:rPr>
                <w:rFonts w:hint="default" w:ascii="Cambria" w:hAnsi="Cambria" w:cs="Cambria"/>
                <w:sz w:val="20"/>
                <w:szCs w:val="20"/>
              </w:rPr>
              <w:t>Layanan Tera/Tera Ulang</w:t>
            </w:r>
          </w:p>
          <w:p>
            <w:pPr>
              <w:spacing w:after="0"/>
              <w:jc w:val="center"/>
              <w:rPr>
                <w:rFonts w:hint="default" w:ascii="Cambria" w:hAnsi="Cambria" w:cs="Cambria"/>
                <w:sz w:val="20"/>
                <w:szCs w:val="20"/>
              </w:rPr>
            </w:pPr>
          </w:p>
        </w:tc>
        <w:tc>
          <w:tcPr>
            <w:tcW w:w="1633" w:type="dxa"/>
            <w:tcBorders>
              <w:top w:val="nil"/>
              <w:left w:val="nil"/>
              <w:bottom w:val="double" w:color="auto" w:sz="6" w:space="0"/>
              <w:right w:val="double" w:color="auto" w:sz="6" w:space="0"/>
            </w:tcBorders>
            <w:shd w:val="clear" w:color="auto" w:fill="auto"/>
            <w:vAlign w:val="center"/>
          </w:tcPr>
          <w:p>
            <w:pPr>
              <w:spacing w:after="0"/>
              <w:jc w:val="center"/>
              <w:rPr>
                <w:rFonts w:hint="default" w:ascii="Cambria" w:hAnsi="Cambria" w:cs="Cambria"/>
                <w:color w:val="000000" w:themeColor="text1"/>
                <w:sz w:val="20"/>
                <w:szCs w:val="20"/>
                <w14:textFill>
                  <w14:solidFill>
                    <w14:schemeClr w14:val="tx1"/>
                  </w14:solidFill>
                </w14:textFill>
              </w:rPr>
            </w:pPr>
            <w:r>
              <w:rPr>
                <w:rFonts w:hint="default" w:ascii="Cambria" w:hAnsi="Cambria" w:cs="Cambria"/>
                <w:color w:val="000000" w:themeColor="text1"/>
                <w:sz w:val="20"/>
                <w:szCs w:val="20"/>
                <w14:textFill>
                  <w14:solidFill>
                    <w14:schemeClr w14:val="tx1"/>
                  </w14:solidFill>
                </w14:textFill>
              </w:rPr>
              <w:t>25.968.500</w:t>
            </w:r>
          </w:p>
        </w:tc>
        <w:tc>
          <w:tcPr>
            <w:tcW w:w="1633" w:type="dxa"/>
            <w:tcBorders>
              <w:top w:val="nil"/>
              <w:left w:val="nil"/>
              <w:bottom w:val="nil"/>
              <w:right w:val="double" w:color="auto" w:sz="6" w:space="0"/>
            </w:tcBorders>
            <w:shd w:val="clear" w:color="auto" w:fill="auto"/>
            <w:vAlign w:val="center"/>
          </w:tcPr>
          <w:p>
            <w:pPr>
              <w:spacing w:after="0"/>
              <w:jc w:val="center"/>
              <w:rPr>
                <w:rFonts w:hint="default" w:ascii="Cambria" w:hAnsi="Cambria" w:cs="Cambria"/>
                <w:color w:val="000000" w:themeColor="text1"/>
                <w:sz w:val="20"/>
                <w:szCs w:val="20"/>
                <w14:textFill>
                  <w14:solidFill>
                    <w14:schemeClr w14:val="tx1"/>
                  </w14:solidFill>
                </w14:textFill>
              </w:rPr>
            </w:pPr>
            <w:r>
              <w:rPr>
                <w:rFonts w:hint="default" w:ascii="Cambria" w:hAnsi="Cambria" w:cs="Cambria"/>
                <w:color w:val="000000" w:themeColor="text1"/>
                <w:sz w:val="20"/>
                <w:szCs w:val="20"/>
                <w14:textFill>
                  <w14:solidFill>
                    <w14:schemeClr w14:val="tx1"/>
                  </w14:solidFill>
                </w14:textFill>
              </w:rPr>
              <w:t>24.620.400</w:t>
            </w:r>
          </w:p>
        </w:tc>
        <w:tc>
          <w:tcPr>
            <w:tcW w:w="1520" w:type="dxa"/>
            <w:tcBorders>
              <w:top w:val="nil"/>
              <w:left w:val="nil"/>
              <w:bottom w:val="nil"/>
              <w:right w:val="double" w:color="auto" w:sz="6" w:space="0"/>
            </w:tcBorders>
            <w:vAlign w:val="center"/>
          </w:tcPr>
          <w:p>
            <w:pPr>
              <w:spacing w:after="0"/>
              <w:jc w:val="center"/>
              <w:rPr>
                <w:rFonts w:hint="default" w:ascii="Cambria" w:hAnsi="Cambria" w:cs="Cambria"/>
                <w:color w:val="000000" w:themeColor="text1"/>
                <w:sz w:val="20"/>
                <w:szCs w:val="20"/>
                <w14:textFill>
                  <w14:solidFill>
                    <w14:schemeClr w14:val="tx1"/>
                  </w14:solidFill>
                </w14:textFill>
              </w:rPr>
            </w:pPr>
            <w:r>
              <w:rPr>
                <w:rFonts w:hint="default" w:ascii="Cambria" w:hAnsi="Cambria" w:cs="Cambria"/>
                <w:color w:val="000000" w:themeColor="text1"/>
                <w:sz w:val="20"/>
                <w:szCs w:val="20"/>
                <w14:textFill>
                  <w14:solidFill>
                    <w14:schemeClr w14:val="tx1"/>
                  </w14:solidFill>
                </w14:textFill>
              </w:rPr>
              <w:t>94,80</w:t>
            </w:r>
          </w:p>
        </w:tc>
      </w:tr>
      <w:tr>
        <w:tblPrEx>
          <w:tblCellMar>
            <w:top w:w="0" w:type="dxa"/>
            <w:left w:w="108" w:type="dxa"/>
            <w:bottom w:w="0" w:type="dxa"/>
            <w:right w:w="108" w:type="dxa"/>
          </w:tblCellMar>
        </w:tblPrEx>
        <w:trPr>
          <w:trHeight w:val="383" w:hRule="atLeast"/>
        </w:trPr>
        <w:tc>
          <w:tcPr>
            <w:tcW w:w="584" w:type="dxa"/>
            <w:tcBorders>
              <w:top w:val="nil"/>
              <w:left w:val="double" w:color="auto" w:sz="6" w:space="0"/>
              <w:bottom w:val="double" w:color="auto" w:sz="6" w:space="0"/>
              <w:right w:val="double" w:color="auto" w:sz="6" w:space="0"/>
            </w:tcBorders>
            <w:shd w:val="clear" w:color="auto" w:fill="auto"/>
            <w:vAlign w:val="center"/>
          </w:tcPr>
          <w:p>
            <w:pPr>
              <w:spacing w:after="0"/>
              <w:jc w:val="center"/>
              <w:rPr>
                <w:rFonts w:hint="default" w:ascii="Cambria" w:hAnsi="Cambria" w:cs="Cambria"/>
                <w:b/>
                <w:bCs/>
                <w:sz w:val="20"/>
                <w:szCs w:val="20"/>
              </w:rPr>
            </w:pPr>
          </w:p>
        </w:tc>
        <w:tc>
          <w:tcPr>
            <w:tcW w:w="2568" w:type="dxa"/>
            <w:tcBorders>
              <w:top w:val="nil"/>
              <w:left w:val="nil"/>
              <w:bottom w:val="double" w:color="auto" w:sz="6" w:space="0"/>
              <w:right w:val="double" w:color="auto" w:sz="6" w:space="0"/>
            </w:tcBorders>
            <w:shd w:val="clear" w:color="auto" w:fill="auto"/>
            <w:vAlign w:val="center"/>
          </w:tcPr>
          <w:p>
            <w:pPr>
              <w:spacing w:after="0"/>
              <w:jc w:val="center"/>
              <w:rPr>
                <w:rFonts w:hint="default" w:ascii="Cambria" w:hAnsi="Cambria" w:cs="Cambria"/>
                <w:b/>
                <w:bCs/>
                <w:sz w:val="20"/>
                <w:szCs w:val="20"/>
              </w:rPr>
            </w:pPr>
            <w:r>
              <w:rPr>
                <w:rFonts w:hint="default" w:ascii="Cambria" w:hAnsi="Cambria" w:cs="Cambria"/>
                <w:b/>
                <w:bCs/>
                <w:sz w:val="20"/>
                <w:szCs w:val="20"/>
              </w:rPr>
              <w:t>Jumlah</w:t>
            </w:r>
          </w:p>
        </w:tc>
        <w:tc>
          <w:tcPr>
            <w:tcW w:w="1633" w:type="dxa"/>
            <w:tcBorders>
              <w:top w:val="nil"/>
              <w:left w:val="nil"/>
              <w:bottom w:val="double" w:color="auto" w:sz="6" w:space="0"/>
              <w:right w:val="double" w:color="auto" w:sz="6" w:space="0"/>
            </w:tcBorders>
            <w:shd w:val="clear" w:color="auto" w:fill="auto"/>
            <w:vAlign w:val="center"/>
          </w:tcPr>
          <w:p>
            <w:pPr>
              <w:spacing w:after="0"/>
              <w:jc w:val="center"/>
              <w:rPr>
                <w:rFonts w:hint="default" w:ascii="Cambria" w:hAnsi="Cambria" w:cs="Cambria"/>
                <w:b/>
                <w:bCs/>
                <w:color w:val="000000" w:themeColor="text1"/>
                <w:sz w:val="20"/>
                <w:szCs w:val="20"/>
                <w14:textFill>
                  <w14:solidFill>
                    <w14:schemeClr w14:val="tx1"/>
                  </w14:solidFill>
                </w14:textFill>
              </w:rPr>
            </w:pPr>
            <w:r>
              <w:rPr>
                <w:rFonts w:hint="default" w:ascii="Cambria" w:hAnsi="Cambria" w:cs="Cambria"/>
                <w:b/>
                <w:bCs/>
                <w:color w:val="000000" w:themeColor="text1"/>
                <w:sz w:val="20"/>
                <w:szCs w:val="20"/>
                <w14:textFill>
                  <w14:solidFill>
                    <w14:schemeClr w14:val="tx1"/>
                  </w14:solidFill>
                </w14:textFill>
              </w:rPr>
              <w:t>525.968.500</w:t>
            </w:r>
          </w:p>
        </w:tc>
        <w:tc>
          <w:tcPr>
            <w:tcW w:w="1633" w:type="dxa"/>
            <w:tcBorders>
              <w:top w:val="double" w:color="auto" w:sz="6" w:space="0"/>
              <w:left w:val="nil"/>
              <w:bottom w:val="double" w:color="auto" w:sz="6" w:space="0"/>
              <w:right w:val="double" w:color="auto" w:sz="6" w:space="0"/>
            </w:tcBorders>
            <w:shd w:val="clear" w:color="auto" w:fill="auto"/>
            <w:vAlign w:val="center"/>
          </w:tcPr>
          <w:p>
            <w:pPr>
              <w:spacing w:after="0"/>
              <w:jc w:val="center"/>
              <w:rPr>
                <w:rFonts w:hint="default" w:ascii="Cambria" w:hAnsi="Cambria" w:cs="Cambria"/>
                <w:b/>
                <w:bCs/>
                <w:color w:val="000000" w:themeColor="text1"/>
                <w:sz w:val="20"/>
                <w:szCs w:val="20"/>
                <w14:textFill>
                  <w14:solidFill>
                    <w14:schemeClr w14:val="tx1"/>
                  </w14:solidFill>
                </w14:textFill>
              </w:rPr>
            </w:pPr>
            <w:r>
              <w:rPr>
                <w:rFonts w:hint="default" w:ascii="Cambria" w:hAnsi="Cambria" w:cs="Cambria"/>
                <w:b/>
                <w:bCs/>
                <w:color w:val="000000" w:themeColor="text1"/>
                <w:sz w:val="20"/>
                <w:szCs w:val="20"/>
                <w14:textFill>
                  <w14:solidFill>
                    <w14:schemeClr w14:val="tx1"/>
                  </w14:solidFill>
                </w14:textFill>
              </w:rPr>
              <w:t>199.012.850</w:t>
            </w:r>
          </w:p>
        </w:tc>
        <w:tc>
          <w:tcPr>
            <w:tcW w:w="1520" w:type="dxa"/>
            <w:tcBorders>
              <w:top w:val="double" w:color="auto" w:sz="6" w:space="0"/>
              <w:left w:val="nil"/>
              <w:bottom w:val="double" w:color="auto" w:sz="6" w:space="0"/>
              <w:right w:val="double" w:color="auto" w:sz="6" w:space="0"/>
            </w:tcBorders>
            <w:vAlign w:val="center"/>
          </w:tcPr>
          <w:p>
            <w:pPr>
              <w:spacing w:after="0"/>
              <w:jc w:val="center"/>
              <w:rPr>
                <w:rFonts w:hint="default" w:ascii="Cambria" w:hAnsi="Cambria" w:cs="Cambria"/>
                <w:b/>
                <w:color w:val="000000" w:themeColor="text1"/>
                <w:sz w:val="20"/>
                <w:szCs w:val="20"/>
                <w14:textFill>
                  <w14:solidFill>
                    <w14:schemeClr w14:val="tx1"/>
                  </w14:solidFill>
                </w14:textFill>
              </w:rPr>
            </w:pPr>
          </w:p>
          <w:p>
            <w:pPr>
              <w:spacing w:after="0"/>
              <w:jc w:val="center"/>
              <w:rPr>
                <w:rFonts w:hint="default" w:ascii="Cambria" w:hAnsi="Cambria" w:cs="Cambria"/>
                <w:b/>
                <w:color w:val="000000" w:themeColor="text1"/>
                <w:sz w:val="20"/>
                <w:szCs w:val="20"/>
                <w14:textFill>
                  <w14:solidFill>
                    <w14:schemeClr w14:val="tx1"/>
                  </w14:solidFill>
                </w14:textFill>
              </w:rPr>
            </w:pPr>
            <w:r>
              <w:rPr>
                <w:rFonts w:hint="default" w:ascii="Cambria" w:hAnsi="Cambria" w:cs="Cambria"/>
                <w:b/>
                <w:color w:val="000000" w:themeColor="text1"/>
                <w:sz w:val="20"/>
                <w:szCs w:val="20"/>
                <w14:textFill>
                  <w14:solidFill>
                    <w14:schemeClr w14:val="tx1"/>
                  </w14:solidFill>
                </w14:textFill>
              </w:rPr>
              <w:t>37,83</w:t>
            </w:r>
          </w:p>
          <w:p>
            <w:pPr>
              <w:spacing w:after="0"/>
              <w:jc w:val="center"/>
              <w:rPr>
                <w:rFonts w:hint="default" w:ascii="Cambria" w:hAnsi="Cambria" w:cs="Cambria"/>
                <w:b/>
                <w:color w:val="000000" w:themeColor="text1"/>
                <w:sz w:val="20"/>
                <w:szCs w:val="20"/>
                <w14:textFill>
                  <w14:solidFill>
                    <w14:schemeClr w14:val="tx1"/>
                  </w14:solidFill>
                </w14:textFill>
              </w:rPr>
            </w:pPr>
          </w:p>
        </w:tc>
      </w:tr>
    </w:tbl>
    <w:p>
      <w:pPr>
        <w:spacing w:after="0" w:line="360" w:lineRule="auto"/>
        <w:jc w:val="both"/>
        <w:rPr>
          <w:rFonts w:hint="default" w:ascii="Cambria" w:hAnsi="Cambria" w:cs="Cambria"/>
          <w:b/>
          <w:sz w:val="24"/>
          <w:szCs w:val="24"/>
        </w:rPr>
      </w:pPr>
    </w:p>
    <w:p>
      <w:pPr>
        <w:pStyle w:val="13"/>
        <w:numPr>
          <w:ilvl w:val="0"/>
          <w:numId w:val="49"/>
        </w:numPr>
        <w:spacing w:after="0" w:line="360" w:lineRule="auto"/>
        <w:ind w:left="851" w:hanging="425"/>
        <w:jc w:val="both"/>
        <w:rPr>
          <w:rFonts w:hint="default" w:ascii="Cambria" w:hAnsi="Cambria" w:cs="Cambria"/>
          <w:b/>
          <w:sz w:val="24"/>
          <w:szCs w:val="24"/>
        </w:rPr>
      </w:pPr>
      <w:r>
        <w:rPr>
          <w:rFonts w:hint="default" w:ascii="Cambria" w:hAnsi="Cambria" w:cs="Cambria"/>
          <w:b/>
          <w:sz w:val="24"/>
          <w:szCs w:val="24"/>
        </w:rPr>
        <w:t>Belanja</w:t>
      </w:r>
    </w:p>
    <w:p>
      <w:pPr>
        <w:pStyle w:val="19"/>
        <w:tabs>
          <w:tab w:val="left" w:pos="2552"/>
        </w:tabs>
        <w:spacing w:line="360" w:lineRule="auto"/>
        <w:jc w:val="center"/>
        <w:rPr>
          <w:rFonts w:hint="default" w:ascii="Cambria" w:hAnsi="Cambria" w:cs="Cambria"/>
          <w:color w:val="auto"/>
          <w:sz w:val="24"/>
          <w:szCs w:val="24"/>
        </w:rPr>
      </w:pPr>
      <w:r>
        <w:rPr>
          <w:rFonts w:hint="default" w:ascii="Cambria" w:hAnsi="Cambria" w:cs="Cambria"/>
          <w:color w:val="auto"/>
          <w:sz w:val="24"/>
          <w:szCs w:val="24"/>
        </w:rPr>
        <w:t>Tabel 3.3.3</w:t>
      </w:r>
    </w:p>
    <w:p>
      <w:pPr>
        <w:spacing w:after="0" w:line="360" w:lineRule="auto"/>
        <w:jc w:val="center"/>
        <w:rPr>
          <w:rFonts w:hint="default" w:ascii="Cambria" w:hAnsi="Cambria" w:cs="Cambria"/>
          <w:b/>
          <w:sz w:val="24"/>
          <w:szCs w:val="24"/>
        </w:rPr>
      </w:pPr>
      <w:r>
        <w:rPr>
          <w:rFonts w:hint="default" w:ascii="Cambria" w:hAnsi="Cambria" w:cs="Cambria"/>
          <w:sz w:val="24"/>
          <w:szCs w:val="24"/>
        </w:rPr>
        <w:t>Rekapitulasi Belanja Tahun 2022</w:t>
      </w:r>
    </w:p>
    <w:tbl>
      <w:tblPr>
        <w:tblStyle w:val="3"/>
        <w:tblW w:w="8736" w:type="dxa"/>
        <w:tblInd w:w="0" w:type="dxa"/>
        <w:tblLayout w:type="autofit"/>
        <w:tblCellMar>
          <w:top w:w="0" w:type="dxa"/>
          <w:left w:w="108" w:type="dxa"/>
          <w:bottom w:w="0" w:type="dxa"/>
          <w:right w:w="108" w:type="dxa"/>
        </w:tblCellMar>
      </w:tblPr>
      <w:tblGrid>
        <w:gridCol w:w="2106"/>
        <w:gridCol w:w="1803"/>
        <w:gridCol w:w="1947"/>
        <w:gridCol w:w="1602"/>
        <w:gridCol w:w="1278"/>
      </w:tblGrid>
      <w:tr>
        <w:tblPrEx>
          <w:tblCellMar>
            <w:top w:w="0" w:type="dxa"/>
            <w:left w:w="108" w:type="dxa"/>
            <w:bottom w:w="0" w:type="dxa"/>
            <w:right w:w="108" w:type="dxa"/>
          </w:tblCellMar>
        </w:tblPrEx>
        <w:trPr>
          <w:trHeight w:val="600" w:hRule="atLeast"/>
        </w:trPr>
        <w:tc>
          <w:tcPr>
            <w:tcW w:w="2120" w:type="dxa"/>
            <w:tcBorders>
              <w:top w:val="double" w:color="auto" w:sz="6" w:space="0"/>
              <w:left w:val="double" w:color="auto" w:sz="6" w:space="0"/>
              <w:bottom w:val="nil"/>
              <w:right w:val="double" w:color="auto" w:sz="6" w:space="0"/>
            </w:tcBorders>
            <w:shd w:val="clear" w:color="000000" w:fill="FAC090"/>
            <w:vAlign w:val="center"/>
          </w:tcPr>
          <w:p>
            <w:pPr>
              <w:spacing w:after="0"/>
              <w:jc w:val="center"/>
              <w:rPr>
                <w:rFonts w:hint="default" w:ascii="Cambria" w:hAnsi="Cambria" w:cs="Cambria"/>
                <w:b/>
                <w:bCs/>
                <w:sz w:val="22"/>
                <w:szCs w:val="22"/>
              </w:rPr>
            </w:pPr>
            <w:r>
              <w:rPr>
                <w:rFonts w:hint="default" w:ascii="Cambria" w:hAnsi="Cambria" w:cs="Cambria"/>
                <w:b/>
                <w:bCs/>
                <w:sz w:val="22"/>
                <w:szCs w:val="22"/>
              </w:rPr>
              <w:t>Uraian Belanja</w:t>
            </w:r>
          </w:p>
        </w:tc>
        <w:tc>
          <w:tcPr>
            <w:tcW w:w="1732" w:type="dxa"/>
            <w:tcBorders>
              <w:top w:val="double" w:color="auto" w:sz="6" w:space="0"/>
              <w:left w:val="nil"/>
              <w:bottom w:val="nil"/>
              <w:right w:val="double" w:color="auto" w:sz="6" w:space="0"/>
            </w:tcBorders>
            <w:shd w:val="clear" w:color="000000" w:fill="FAC090"/>
            <w:vAlign w:val="center"/>
          </w:tcPr>
          <w:p>
            <w:pPr>
              <w:spacing w:after="0"/>
              <w:jc w:val="center"/>
              <w:rPr>
                <w:rFonts w:hint="default" w:ascii="Cambria" w:hAnsi="Cambria" w:cs="Cambria"/>
                <w:b/>
                <w:bCs/>
                <w:sz w:val="22"/>
                <w:szCs w:val="22"/>
              </w:rPr>
            </w:pPr>
            <w:r>
              <w:rPr>
                <w:rFonts w:hint="default" w:ascii="Cambria" w:hAnsi="Cambria" w:cs="Cambria"/>
                <w:b/>
                <w:bCs/>
                <w:sz w:val="22"/>
                <w:szCs w:val="22"/>
              </w:rPr>
              <w:t>Anggaran             (Rp.)</w:t>
            </w:r>
          </w:p>
        </w:tc>
        <w:tc>
          <w:tcPr>
            <w:tcW w:w="1958" w:type="dxa"/>
            <w:tcBorders>
              <w:top w:val="double" w:color="auto" w:sz="6" w:space="0"/>
              <w:left w:val="nil"/>
              <w:bottom w:val="nil"/>
              <w:right w:val="double" w:color="auto" w:sz="6" w:space="0"/>
            </w:tcBorders>
            <w:shd w:val="clear" w:color="000000" w:fill="FAC090"/>
            <w:vAlign w:val="center"/>
          </w:tcPr>
          <w:p>
            <w:pPr>
              <w:spacing w:after="0"/>
              <w:jc w:val="center"/>
              <w:rPr>
                <w:rFonts w:hint="default" w:ascii="Cambria" w:hAnsi="Cambria" w:cs="Cambria"/>
                <w:b/>
                <w:bCs/>
                <w:sz w:val="22"/>
                <w:szCs w:val="22"/>
              </w:rPr>
            </w:pPr>
            <w:r>
              <w:rPr>
                <w:rFonts w:hint="default" w:ascii="Cambria" w:hAnsi="Cambria" w:cs="Cambria"/>
                <w:b/>
                <w:bCs/>
                <w:sz w:val="22"/>
                <w:szCs w:val="22"/>
              </w:rPr>
              <w:t>Realisasi                (Rp.)</w:t>
            </w:r>
          </w:p>
        </w:tc>
        <w:tc>
          <w:tcPr>
            <w:tcW w:w="1611" w:type="dxa"/>
            <w:tcBorders>
              <w:top w:val="double" w:color="auto" w:sz="6" w:space="0"/>
              <w:left w:val="nil"/>
              <w:bottom w:val="nil"/>
              <w:right w:val="double" w:color="auto" w:sz="6" w:space="0"/>
            </w:tcBorders>
            <w:shd w:val="clear" w:color="000000" w:fill="FAC090"/>
            <w:vAlign w:val="center"/>
          </w:tcPr>
          <w:p>
            <w:pPr>
              <w:spacing w:after="0"/>
              <w:jc w:val="center"/>
              <w:rPr>
                <w:rFonts w:hint="default" w:ascii="Cambria" w:hAnsi="Cambria" w:cs="Cambria"/>
                <w:b/>
                <w:bCs/>
                <w:sz w:val="22"/>
                <w:szCs w:val="22"/>
              </w:rPr>
            </w:pPr>
            <w:r>
              <w:rPr>
                <w:rFonts w:hint="default" w:ascii="Cambria" w:hAnsi="Cambria" w:cs="Cambria"/>
                <w:b/>
                <w:bCs/>
                <w:sz w:val="22"/>
                <w:szCs w:val="22"/>
              </w:rPr>
              <w:t>Sisa                  (Rp.)</w:t>
            </w:r>
          </w:p>
        </w:tc>
        <w:tc>
          <w:tcPr>
            <w:tcW w:w="1315" w:type="dxa"/>
            <w:tcBorders>
              <w:top w:val="double" w:color="auto" w:sz="6" w:space="0"/>
              <w:left w:val="nil"/>
              <w:bottom w:val="double" w:color="auto" w:sz="6" w:space="0"/>
              <w:right w:val="double" w:color="auto" w:sz="6" w:space="0"/>
            </w:tcBorders>
            <w:shd w:val="clear" w:color="000000" w:fill="FAC090"/>
          </w:tcPr>
          <w:p>
            <w:pPr>
              <w:spacing w:after="0"/>
              <w:rPr>
                <w:rFonts w:hint="default" w:ascii="Cambria" w:hAnsi="Cambria" w:cs="Cambria"/>
                <w:b/>
                <w:bCs/>
                <w:sz w:val="22"/>
                <w:szCs w:val="22"/>
              </w:rPr>
            </w:pPr>
          </w:p>
          <w:p>
            <w:pPr>
              <w:spacing w:after="0"/>
              <w:jc w:val="center"/>
              <w:rPr>
                <w:rFonts w:hint="default" w:ascii="Cambria" w:hAnsi="Cambria" w:cs="Cambria"/>
                <w:b/>
                <w:bCs/>
                <w:sz w:val="22"/>
                <w:szCs w:val="22"/>
                <w:lang w:val="id-ID"/>
              </w:rPr>
            </w:pPr>
            <w:r>
              <w:rPr>
                <w:rFonts w:hint="default" w:ascii="Cambria" w:hAnsi="Cambria" w:cs="Cambria"/>
                <w:b/>
                <w:bCs/>
                <w:sz w:val="22"/>
                <w:szCs w:val="22"/>
                <w:lang w:val="id-ID"/>
              </w:rPr>
              <w:t>%</w:t>
            </w:r>
          </w:p>
        </w:tc>
      </w:tr>
      <w:tr>
        <w:tblPrEx>
          <w:tblCellMar>
            <w:top w:w="0" w:type="dxa"/>
            <w:left w:w="108" w:type="dxa"/>
            <w:bottom w:w="0" w:type="dxa"/>
            <w:right w:w="108" w:type="dxa"/>
          </w:tblCellMar>
        </w:tblPrEx>
        <w:trPr>
          <w:trHeight w:val="865" w:hRule="atLeast"/>
        </w:trPr>
        <w:tc>
          <w:tcPr>
            <w:tcW w:w="2120" w:type="dxa"/>
            <w:tcBorders>
              <w:top w:val="nil"/>
              <w:left w:val="double" w:color="auto" w:sz="6" w:space="0"/>
              <w:bottom w:val="double" w:color="auto" w:sz="6" w:space="0"/>
              <w:right w:val="nil"/>
            </w:tcBorders>
            <w:shd w:val="clear" w:color="auto" w:fill="auto"/>
            <w:vAlign w:val="bottom"/>
          </w:tcPr>
          <w:p>
            <w:pPr>
              <w:pStyle w:val="13"/>
              <w:spacing w:after="0" w:line="240" w:lineRule="auto"/>
              <w:ind w:left="0"/>
              <w:rPr>
                <w:rFonts w:hint="default" w:ascii="Cambria" w:hAnsi="Cambria" w:cs="Cambria"/>
                <w:sz w:val="22"/>
                <w:szCs w:val="22"/>
              </w:rPr>
            </w:pPr>
            <w:r>
              <w:rPr>
                <w:rFonts w:hint="default" w:ascii="Cambria" w:hAnsi="Cambria" w:cs="Cambria"/>
                <w:sz w:val="22"/>
                <w:szCs w:val="22"/>
              </w:rPr>
              <w:t>- Belanja Operasi</w:t>
            </w:r>
          </w:p>
          <w:p>
            <w:pPr>
              <w:pStyle w:val="13"/>
              <w:numPr>
                <w:ilvl w:val="0"/>
                <w:numId w:val="50"/>
              </w:numPr>
              <w:spacing w:after="0" w:line="240" w:lineRule="auto"/>
              <w:ind w:left="175" w:hanging="142"/>
              <w:rPr>
                <w:rFonts w:hint="default" w:ascii="Cambria" w:hAnsi="Cambria" w:cs="Cambria"/>
                <w:sz w:val="22"/>
                <w:szCs w:val="22"/>
              </w:rPr>
            </w:pPr>
            <w:r>
              <w:rPr>
                <w:rFonts w:hint="default" w:ascii="Cambria" w:hAnsi="Cambria" w:cs="Cambria"/>
                <w:sz w:val="22"/>
                <w:szCs w:val="22"/>
              </w:rPr>
              <w:t>Belanja Modal</w:t>
            </w:r>
          </w:p>
          <w:p>
            <w:pPr>
              <w:pStyle w:val="13"/>
              <w:spacing w:after="0"/>
              <w:ind w:left="175"/>
              <w:rPr>
                <w:rFonts w:hint="default" w:ascii="Cambria" w:hAnsi="Cambria" w:cs="Cambria"/>
                <w:sz w:val="22"/>
                <w:szCs w:val="22"/>
              </w:rPr>
            </w:pPr>
          </w:p>
        </w:tc>
        <w:tc>
          <w:tcPr>
            <w:tcW w:w="1732" w:type="dxa"/>
            <w:tcBorders>
              <w:top w:val="nil"/>
              <w:left w:val="nil"/>
              <w:bottom w:val="double" w:color="auto" w:sz="6" w:space="0"/>
              <w:right w:val="nil"/>
            </w:tcBorders>
            <w:shd w:val="clear" w:color="auto" w:fill="auto"/>
            <w:vAlign w:val="bottom"/>
          </w:tcPr>
          <w:p>
            <w:pPr>
              <w:spacing w:after="0"/>
              <w:jc w:val="right"/>
              <w:rPr>
                <w:rFonts w:hint="default" w:ascii="Cambria" w:hAnsi="Cambria" w:cs="Cambria"/>
                <w:sz w:val="22"/>
                <w:szCs w:val="22"/>
                <w:lang w:val="en-US"/>
              </w:rPr>
            </w:pPr>
            <w:r>
              <w:rPr>
                <w:rFonts w:hint="default" w:ascii="Cambria" w:hAnsi="Cambria" w:cs="Cambria"/>
                <w:sz w:val="22"/>
                <w:szCs w:val="22"/>
                <w:lang w:val="en-US"/>
              </w:rPr>
              <w:t>12.996.781.600</w:t>
            </w:r>
          </w:p>
          <w:p>
            <w:pPr>
              <w:spacing w:after="0"/>
              <w:jc w:val="right"/>
              <w:rPr>
                <w:rFonts w:hint="default" w:ascii="Cambria" w:hAnsi="Cambria" w:cs="Cambria"/>
                <w:sz w:val="22"/>
                <w:szCs w:val="22"/>
                <w:lang w:val="en-US"/>
              </w:rPr>
            </w:pPr>
            <w:r>
              <w:rPr>
                <w:rFonts w:hint="default" w:ascii="Cambria" w:hAnsi="Cambria" w:cs="Cambria"/>
                <w:sz w:val="22"/>
                <w:szCs w:val="22"/>
                <w:lang w:val="en-US"/>
              </w:rPr>
              <w:t>7.051.753.275</w:t>
            </w:r>
          </w:p>
          <w:p>
            <w:pPr>
              <w:spacing w:after="0"/>
              <w:jc w:val="right"/>
              <w:rPr>
                <w:rFonts w:hint="default" w:ascii="Cambria" w:hAnsi="Cambria" w:cs="Cambria"/>
                <w:sz w:val="22"/>
                <w:szCs w:val="22"/>
              </w:rPr>
            </w:pPr>
          </w:p>
        </w:tc>
        <w:tc>
          <w:tcPr>
            <w:tcW w:w="1958" w:type="dxa"/>
            <w:tcBorders>
              <w:top w:val="nil"/>
              <w:left w:val="nil"/>
              <w:bottom w:val="double" w:color="auto" w:sz="6" w:space="0"/>
              <w:right w:val="nil"/>
            </w:tcBorders>
            <w:shd w:val="clear" w:color="auto" w:fill="auto"/>
            <w:vAlign w:val="bottom"/>
          </w:tcPr>
          <w:p>
            <w:pPr>
              <w:spacing w:after="0"/>
              <w:jc w:val="right"/>
              <w:rPr>
                <w:rFonts w:hint="default" w:ascii="Cambria" w:hAnsi="Cambria" w:cs="Cambria"/>
                <w:color w:val="auto"/>
                <w:sz w:val="22"/>
                <w:szCs w:val="22"/>
                <w:lang w:val="en-US"/>
              </w:rPr>
            </w:pPr>
            <w:r>
              <w:rPr>
                <w:rFonts w:hint="default" w:ascii="Cambria" w:hAnsi="Cambria" w:cs="Cambria"/>
                <w:color w:val="auto"/>
                <w:sz w:val="22"/>
                <w:szCs w:val="22"/>
                <w:lang w:val="en-US"/>
              </w:rPr>
              <w:t>12.696.048.570</w:t>
            </w:r>
          </w:p>
          <w:p>
            <w:pPr>
              <w:spacing w:after="0"/>
              <w:jc w:val="right"/>
              <w:rPr>
                <w:rFonts w:hint="default" w:ascii="Cambria" w:hAnsi="Cambria" w:cs="Cambria"/>
                <w:color w:val="auto"/>
                <w:sz w:val="22"/>
                <w:szCs w:val="22"/>
                <w:lang w:val="en-US"/>
              </w:rPr>
            </w:pPr>
            <w:r>
              <w:rPr>
                <w:rFonts w:hint="default" w:ascii="Cambria" w:hAnsi="Cambria" w:cs="Cambria"/>
                <w:color w:val="auto"/>
                <w:sz w:val="22"/>
                <w:szCs w:val="22"/>
                <w:lang w:val="en-US"/>
              </w:rPr>
              <w:t>6.984.025.700</w:t>
            </w:r>
          </w:p>
          <w:p>
            <w:pPr>
              <w:spacing w:after="0"/>
              <w:jc w:val="right"/>
              <w:rPr>
                <w:rFonts w:hint="default" w:ascii="Cambria" w:hAnsi="Cambria" w:cs="Cambria"/>
                <w:sz w:val="22"/>
                <w:szCs w:val="22"/>
              </w:rPr>
            </w:pPr>
          </w:p>
        </w:tc>
        <w:tc>
          <w:tcPr>
            <w:tcW w:w="1611" w:type="dxa"/>
            <w:tcBorders>
              <w:top w:val="nil"/>
              <w:left w:val="nil"/>
              <w:bottom w:val="double" w:color="auto" w:sz="6" w:space="0"/>
              <w:right w:val="double" w:color="auto" w:sz="6" w:space="0"/>
            </w:tcBorders>
            <w:shd w:val="clear" w:color="auto" w:fill="auto"/>
            <w:vAlign w:val="bottom"/>
          </w:tcPr>
          <w:p>
            <w:pPr>
              <w:spacing w:after="0"/>
              <w:jc w:val="right"/>
              <w:rPr>
                <w:rFonts w:hint="default" w:ascii="Cambria" w:hAnsi="Cambria" w:cs="Cambria"/>
                <w:sz w:val="22"/>
                <w:szCs w:val="22"/>
                <w:lang w:val="en-US"/>
              </w:rPr>
            </w:pPr>
            <w:r>
              <w:rPr>
                <w:rFonts w:hint="default" w:ascii="Cambria" w:hAnsi="Cambria" w:cs="Cambria"/>
                <w:sz w:val="22"/>
                <w:szCs w:val="22"/>
                <w:lang w:val="en-US"/>
              </w:rPr>
              <w:t>300.733.030</w:t>
            </w:r>
          </w:p>
          <w:p>
            <w:pPr>
              <w:spacing w:after="0"/>
              <w:jc w:val="right"/>
              <w:rPr>
                <w:rFonts w:hint="default" w:ascii="Cambria" w:hAnsi="Cambria" w:cs="Cambria"/>
                <w:sz w:val="22"/>
                <w:szCs w:val="22"/>
                <w:lang w:val="en-US"/>
              </w:rPr>
            </w:pPr>
            <w:r>
              <w:rPr>
                <w:rFonts w:hint="default" w:ascii="Cambria" w:hAnsi="Cambria" w:cs="Cambria"/>
                <w:sz w:val="22"/>
                <w:szCs w:val="22"/>
                <w:lang w:val="en-US"/>
              </w:rPr>
              <w:t>67.727.575</w:t>
            </w:r>
          </w:p>
          <w:p>
            <w:pPr>
              <w:spacing w:after="0"/>
              <w:jc w:val="right"/>
              <w:rPr>
                <w:rFonts w:hint="default" w:ascii="Cambria" w:hAnsi="Cambria" w:cs="Cambria"/>
                <w:sz w:val="22"/>
                <w:szCs w:val="22"/>
              </w:rPr>
            </w:pPr>
          </w:p>
        </w:tc>
        <w:tc>
          <w:tcPr>
            <w:tcW w:w="1315" w:type="dxa"/>
            <w:tcBorders>
              <w:top w:val="nil"/>
              <w:left w:val="nil"/>
              <w:bottom w:val="nil"/>
              <w:right w:val="double" w:color="auto" w:sz="6" w:space="0"/>
            </w:tcBorders>
          </w:tcPr>
          <w:p>
            <w:pPr>
              <w:spacing w:after="0"/>
              <w:jc w:val="center"/>
              <w:rPr>
                <w:rFonts w:hint="default" w:ascii="Cambria" w:hAnsi="Cambria" w:cs="Cambria"/>
                <w:sz w:val="22"/>
                <w:szCs w:val="22"/>
                <w:lang w:val="en-US"/>
              </w:rPr>
            </w:pPr>
            <w:r>
              <w:rPr>
                <w:rFonts w:hint="default" w:ascii="Cambria" w:hAnsi="Cambria" w:cs="Cambria"/>
                <w:sz w:val="22"/>
                <w:szCs w:val="22"/>
                <w:lang w:val="en-US"/>
              </w:rPr>
              <w:t>97,69</w:t>
            </w:r>
          </w:p>
          <w:p>
            <w:pPr>
              <w:spacing w:after="0"/>
              <w:jc w:val="center"/>
              <w:rPr>
                <w:rFonts w:hint="default" w:ascii="Cambria" w:hAnsi="Cambria" w:cs="Cambria"/>
                <w:sz w:val="22"/>
                <w:szCs w:val="22"/>
                <w:lang w:val="en-US"/>
              </w:rPr>
            </w:pPr>
            <w:r>
              <w:rPr>
                <w:rFonts w:hint="default" w:ascii="Cambria" w:hAnsi="Cambria" w:cs="Cambria"/>
                <w:sz w:val="22"/>
                <w:szCs w:val="22"/>
                <w:lang w:val="en-US"/>
              </w:rPr>
              <w:t>99,04</w:t>
            </w:r>
          </w:p>
        </w:tc>
      </w:tr>
      <w:tr>
        <w:tblPrEx>
          <w:tblCellMar>
            <w:top w:w="0" w:type="dxa"/>
            <w:left w:w="108" w:type="dxa"/>
            <w:bottom w:w="0" w:type="dxa"/>
            <w:right w:w="108" w:type="dxa"/>
          </w:tblCellMar>
        </w:tblPrEx>
        <w:trPr>
          <w:trHeight w:val="615" w:hRule="atLeast"/>
        </w:trPr>
        <w:tc>
          <w:tcPr>
            <w:tcW w:w="2120" w:type="dxa"/>
            <w:tcBorders>
              <w:top w:val="double" w:color="auto" w:sz="6" w:space="0"/>
              <w:left w:val="double" w:color="auto" w:sz="6" w:space="0"/>
              <w:bottom w:val="double" w:color="auto" w:sz="6" w:space="0"/>
              <w:right w:val="double" w:color="auto" w:sz="6" w:space="0"/>
            </w:tcBorders>
            <w:shd w:val="clear" w:color="auto" w:fill="auto"/>
            <w:vAlign w:val="center"/>
          </w:tcPr>
          <w:p>
            <w:pPr>
              <w:spacing w:after="0"/>
              <w:jc w:val="center"/>
              <w:rPr>
                <w:rFonts w:hint="default" w:ascii="Cambria" w:hAnsi="Cambria" w:cs="Cambria"/>
                <w:b/>
                <w:bCs/>
                <w:sz w:val="22"/>
                <w:szCs w:val="22"/>
              </w:rPr>
            </w:pPr>
            <w:r>
              <w:rPr>
                <w:rFonts w:hint="default" w:ascii="Cambria" w:hAnsi="Cambria" w:cs="Cambria"/>
                <w:b/>
                <w:bCs/>
                <w:sz w:val="22"/>
                <w:szCs w:val="22"/>
                <w:lang w:val="id-ID"/>
              </w:rPr>
              <w:t>Surplus/(defisit)</w:t>
            </w:r>
          </w:p>
        </w:tc>
        <w:tc>
          <w:tcPr>
            <w:tcW w:w="1732" w:type="dxa"/>
            <w:tcBorders>
              <w:top w:val="double" w:color="auto" w:sz="6" w:space="0"/>
              <w:left w:val="nil"/>
              <w:bottom w:val="double" w:color="auto" w:sz="6" w:space="0"/>
              <w:right w:val="double" w:color="auto" w:sz="6" w:space="0"/>
            </w:tcBorders>
            <w:shd w:val="clear" w:color="auto" w:fill="auto"/>
            <w:vAlign w:val="center"/>
          </w:tcPr>
          <w:p>
            <w:pPr>
              <w:spacing w:after="0"/>
              <w:jc w:val="right"/>
              <w:rPr>
                <w:rFonts w:hint="default" w:ascii="Cambria" w:hAnsi="Cambria" w:cs="Cambria"/>
                <w:b/>
                <w:bCs/>
                <w:color w:val="auto"/>
                <w:sz w:val="22"/>
                <w:szCs w:val="22"/>
                <w:lang w:val="en-US"/>
              </w:rPr>
            </w:pPr>
            <w:r>
              <w:rPr>
                <w:rFonts w:hint="default" w:ascii="Cambria" w:hAnsi="Cambria" w:cs="Cambria"/>
                <w:b/>
                <w:bCs/>
                <w:color w:val="auto"/>
                <w:sz w:val="22"/>
                <w:szCs w:val="22"/>
                <w:lang w:val="en-US"/>
              </w:rPr>
              <w:t>20.048.534.875</w:t>
            </w:r>
          </w:p>
        </w:tc>
        <w:tc>
          <w:tcPr>
            <w:tcW w:w="1958" w:type="dxa"/>
            <w:tcBorders>
              <w:top w:val="double" w:color="auto" w:sz="6" w:space="0"/>
              <w:left w:val="nil"/>
              <w:bottom w:val="double" w:color="auto" w:sz="6" w:space="0"/>
              <w:right w:val="double" w:color="auto" w:sz="6" w:space="0"/>
            </w:tcBorders>
            <w:shd w:val="clear" w:color="auto" w:fill="auto"/>
            <w:vAlign w:val="center"/>
          </w:tcPr>
          <w:p>
            <w:pPr>
              <w:spacing w:after="0"/>
              <w:rPr>
                <w:rFonts w:hint="default" w:ascii="Cambria" w:hAnsi="Cambria" w:cs="Cambria"/>
                <w:b/>
                <w:bCs/>
                <w:color w:val="auto"/>
                <w:sz w:val="22"/>
                <w:szCs w:val="22"/>
                <w:lang w:val="en-US"/>
              </w:rPr>
            </w:pPr>
            <w:r>
              <w:rPr>
                <w:rFonts w:hint="default" w:ascii="Cambria" w:hAnsi="Cambria" w:cs="Cambria"/>
                <w:b/>
                <w:bCs/>
                <w:color w:val="auto"/>
                <w:sz w:val="22"/>
                <w:szCs w:val="22"/>
              </w:rPr>
              <w:t xml:space="preserve">  </w:t>
            </w:r>
            <w:r>
              <w:rPr>
                <w:rFonts w:hint="default" w:ascii="Cambria" w:hAnsi="Cambria" w:cs="Cambria"/>
                <w:b/>
                <w:bCs/>
                <w:color w:val="auto"/>
                <w:sz w:val="22"/>
                <w:szCs w:val="22"/>
                <w:lang w:val="en-US"/>
              </w:rPr>
              <w:t>19.680.074.270</w:t>
            </w:r>
          </w:p>
        </w:tc>
        <w:tc>
          <w:tcPr>
            <w:tcW w:w="1611" w:type="dxa"/>
            <w:tcBorders>
              <w:top w:val="double" w:color="auto" w:sz="6" w:space="0"/>
              <w:left w:val="nil"/>
              <w:bottom w:val="double" w:color="auto" w:sz="6" w:space="0"/>
              <w:right w:val="double" w:color="auto" w:sz="6" w:space="0"/>
            </w:tcBorders>
            <w:shd w:val="clear" w:color="auto" w:fill="auto"/>
            <w:vAlign w:val="center"/>
          </w:tcPr>
          <w:p>
            <w:pPr>
              <w:spacing w:after="0"/>
              <w:jc w:val="center"/>
              <w:rPr>
                <w:rFonts w:hint="default" w:ascii="Cambria" w:hAnsi="Cambria" w:cs="Cambria"/>
                <w:b/>
                <w:bCs/>
                <w:color w:val="auto"/>
                <w:sz w:val="22"/>
                <w:szCs w:val="22"/>
                <w:lang w:val="en-US"/>
              </w:rPr>
            </w:pPr>
            <w:r>
              <w:rPr>
                <w:rFonts w:hint="default" w:ascii="Cambria" w:hAnsi="Cambria" w:cs="Cambria"/>
                <w:b/>
                <w:color w:val="auto"/>
                <w:sz w:val="22"/>
                <w:szCs w:val="22"/>
                <w:lang w:val="en-US"/>
              </w:rPr>
              <w:t>368.460.605</w:t>
            </w:r>
          </w:p>
        </w:tc>
        <w:tc>
          <w:tcPr>
            <w:tcW w:w="1315" w:type="dxa"/>
            <w:tcBorders>
              <w:top w:val="double" w:color="auto" w:sz="6" w:space="0"/>
              <w:left w:val="nil"/>
              <w:bottom w:val="double" w:color="auto" w:sz="6" w:space="0"/>
              <w:right w:val="double" w:color="auto" w:sz="6" w:space="0"/>
            </w:tcBorders>
            <w:vAlign w:val="bottom"/>
          </w:tcPr>
          <w:p>
            <w:pPr>
              <w:spacing w:after="0"/>
              <w:jc w:val="center"/>
              <w:rPr>
                <w:rFonts w:hint="default" w:ascii="Cambria" w:hAnsi="Cambria" w:cs="Cambria"/>
                <w:b/>
                <w:sz w:val="22"/>
                <w:szCs w:val="22"/>
                <w:lang w:val="id-ID"/>
              </w:rPr>
            </w:pPr>
          </w:p>
          <w:p>
            <w:pPr>
              <w:spacing w:after="0"/>
              <w:jc w:val="center"/>
              <w:rPr>
                <w:rFonts w:hint="default" w:ascii="Cambria" w:hAnsi="Cambria" w:cs="Cambria"/>
                <w:b/>
                <w:sz w:val="22"/>
                <w:szCs w:val="22"/>
                <w:lang w:val="en-US"/>
              </w:rPr>
            </w:pPr>
            <w:r>
              <w:rPr>
                <w:rFonts w:hint="default" w:ascii="Cambria" w:hAnsi="Cambria" w:cs="Cambria"/>
                <w:b/>
                <w:sz w:val="22"/>
                <w:szCs w:val="22"/>
                <w:lang w:val="en-US"/>
              </w:rPr>
              <w:t>98,16</w:t>
            </w:r>
          </w:p>
        </w:tc>
      </w:tr>
    </w:tbl>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center"/>
        <w:rPr>
          <w:rFonts w:hint="default" w:ascii="Cambria" w:hAnsi="Cambria" w:cs="Cambria"/>
          <w:b/>
          <w:bCs/>
          <w:sz w:val="24"/>
          <w:szCs w:val="24"/>
        </w:rPr>
      </w:pPr>
    </w:p>
    <w:p>
      <w:pPr>
        <w:spacing w:after="0" w:line="360" w:lineRule="auto"/>
        <w:jc w:val="both"/>
        <w:rPr>
          <w:rFonts w:hint="default" w:ascii="Cambria" w:hAnsi="Cambria" w:cs="Cambria"/>
          <w:b/>
          <w:bCs/>
          <w:sz w:val="24"/>
          <w:szCs w:val="24"/>
        </w:rPr>
      </w:pPr>
      <w:bookmarkStart w:id="0" w:name="_GoBack"/>
      <w:bookmarkEnd w:id="0"/>
    </w:p>
    <w:p>
      <w:pPr>
        <w:spacing w:after="0" w:line="360" w:lineRule="auto"/>
        <w:jc w:val="center"/>
        <w:rPr>
          <w:rFonts w:hint="default" w:ascii="Cambria" w:hAnsi="Cambria" w:cs="Cambria"/>
          <w:b/>
          <w:bCs/>
          <w:sz w:val="24"/>
          <w:szCs w:val="24"/>
        </w:rPr>
      </w:pPr>
      <w:r>
        <w:rPr>
          <w:rFonts w:hint="default" w:ascii="Cambria" w:hAnsi="Cambria" w:cs="Cambria"/>
          <w:b/>
          <w:bCs/>
          <w:sz w:val="24"/>
          <w:szCs w:val="24"/>
        </w:rPr>
        <w:t>BAB IV</w:t>
      </w:r>
    </w:p>
    <w:p>
      <w:pPr>
        <w:spacing w:after="0" w:line="360" w:lineRule="auto"/>
        <w:jc w:val="center"/>
        <w:rPr>
          <w:rFonts w:hint="default" w:ascii="Cambria" w:hAnsi="Cambria" w:cs="Cambria"/>
          <w:b/>
          <w:bCs/>
          <w:sz w:val="24"/>
          <w:szCs w:val="24"/>
        </w:rPr>
      </w:pPr>
      <w:r>
        <w:rPr>
          <w:rFonts w:hint="default" w:ascii="Cambria" w:hAnsi="Cambria" w:cs="Cambria"/>
          <w:b/>
          <w:bCs/>
          <w:sz w:val="24"/>
          <w:szCs w:val="24"/>
        </w:rPr>
        <w:t>PENUTUP</w:t>
      </w:r>
    </w:p>
    <w:p>
      <w:pPr>
        <w:spacing w:after="0" w:line="360" w:lineRule="auto"/>
        <w:rPr>
          <w:rFonts w:hint="default" w:ascii="Cambria" w:hAnsi="Cambria" w:cs="Cambria"/>
          <w:sz w:val="24"/>
          <w:szCs w:val="24"/>
        </w:rPr>
      </w:pPr>
    </w:p>
    <w:p>
      <w:pPr>
        <w:spacing w:line="360" w:lineRule="auto"/>
        <w:ind w:firstLine="851"/>
        <w:jc w:val="both"/>
        <w:rPr>
          <w:rFonts w:hint="default" w:ascii="Cambria" w:hAnsi="Cambria" w:cs="Cambria"/>
          <w:sz w:val="24"/>
          <w:szCs w:val="24"/>
          <w:lang w:val="fi-FI"/>
        </w:rPr>
      </w:pPr>
      <w:r>
        <w:rPr>
          <w:rFonts w:hint="default" w:ascii="Cambria" w:hAnsi="Cambria" w:cs="Cambria"/>
          <w:sz w:val="24"/>
          <w:szCs w:val="24"/>
          <w:lang w:val="fi-FI"/>
        </w:rPr>
        <w:t>Dari hal-hal yang telah terurai melalui bab-bab diatas maka dapat disimpulkan bahwa kegiatan-kegiatan dalam melaksanakan program dapat dicapai dengan baik walaupun masih terdapat permasalahan dan kendala yang dihadapi.</w:t>
      </w:r>
    </w:p>
    <w:p>
      <w:pPr>
        <w:spacing w:line="360" w:lineRule="auto"/>
        <w:ind w:firstLine="851"/>
        <w:jc w:val="both"/>
        <w:rPr>
          <w:rFonts w:hint="default" w:ascii="Cambria" w:hAnsi="Cambria" w:cs="Cambria"/>
          <w:sz w:val="24"/>
          <w:szCs w:val="24"/>
          <w:lang w:val="fi-FI"/>
        </w:rPr>
      </w:pPr>
      <w:r>
        <w:rPr>
          <w:rFonts w:hint="default" w:ascii="Cambria" w:hAnsi="Cambria" w:cs="Cambria"/>
          <w:sz w:val="24"/>
          <w:szCs w:val="24"/>
          <w:lang w:val="fi-FI"/>
        </w:rPr>
        <w:t>permasalahan dan kendala yang dihadapi khususnya dengan keterbatasan waktu, keterlambatan dalam pencairan keuangan serta untuk pembinaan diwilayah kepulauan terhambat masalah cuaca yang kurang mendukung. Pemecahan dari permasalahan dan kendala perlu dipertimbangkan untuk pelaksanaan kegiatan yang akan datang agar pelaksanaan dapat lebih baik dari segi waktu, realisasi dan capaian kinerja yang akuntabel.</w:t>
      </w:r>
    </w:p>
    <w:p>
      <w:pPr>
        <w:spacing w:line="360" w:lineRule="auto"/>
        <w:ind w:firstLine="851"/>
        <w:jc w:val="both"/>
        <w:rPr>
          <w:rFonts w:hint="default" w:ascii="Cambria" w:hAnsi="Cambria" w:cs="Cambria"/>
          <w:sz w:val="24"/>
          <w:szCs w:val="24"/>
          <w:lang w:val="fi-FI"/>
        </w:rPr>
      </w:pPr>
      <w:r>
        <w:rPr>
          <w:rFonts w:hint="default" w:ascii="Cambria" w:hAnsi="Cambria" w:cs="Cambria"/>
          <w:sz w:val="24"/>
          <w:szCs w:val="24"/>
          <w:lang w:val="fi-FI"/>
        </w:rPr>
        <w:t xml:space="preserve">Selanjutnya masukan-masukan yang positif bagi penyempurnaan laporan ini tetap diperlukan agar tujuan penyusunan laporan ini dapat tercapai dengan lebih baik dan untuk menjadi perbaikan dimasa yang akan datang semoga keinginan untuk mewujudkan </w:t>
      </w:r>
      <w:r>
        <w:rPr>
          <w:rFonts w:hint="default" w:ascii="Cambria" w:hAnsi="Cambria" w:cs="Cambria"/>
          <w:sz w:val="24"/>
          <w:szCs w:val="24"/>
          <w:lang w:val="id-ID"/>
        </w:rPr>
        <w:t>p</w:t>
      </w:r>
      <w:r>
        <w:rPr>
          <w:rFonts w:hint="default" w:ascii="Cambria" w:hAnsi="Cambria" w:cs="Cambria"/>
          <w:sz w:val="24"/>
          <w:szCs w:val="24"/>
          <w:lang w:val="fi-FI"/>
        </w:rPr>
        <w:t xml:space="preserve">enyelenggaraan </w:t>
      </w:r>
      <w:r>
        <w:rPr>
          <w:rFonts w:hint="default" w:ascii="Cambria" w:hAnsi="Cambria" w:cs="Cambria"/>
          <w:sz w:val="24"/>
          <w:szCs w:val="24"/>
          <w:lang w:val="id-ID"/>
        </w:rPr>
        <w:t>n</w:t>
      </w:r>
      <w:r>
        <w:rPr>
          <w:rFonts w:hint="default" w:ascii="Cambria" w:hAnsi="Cambria" w:cs="Cambria"/>
          <w:sz w:val="24"/>
          <w:szCs w:val="24"/>
          <w:lang w:val="fi-FI"/>
        </w:rPr>
        <w:t>egara yang mampu menjalankan fungsi dan tugas secara sungguh - sungguh dan penuh tanggung jawab dapat dicapai.</w:t>
      </w:r>
    </w:p>
    <w:p>
      <w:pPr>
        <w:spacing w:line="360" w:lineRule="auto"/>
        <w:ind w:firstLine="851"/>
        <w:jc w:val="both"/>
        <w:rPr>
          <w:rFonts w:hint="default" w:ascii="Cambria" w:hAnsi="Cambria" w:cs="Cambria"/>
          <w:sz w:val="24"/>
          <w:szCs w:val="24"/>
          <w:lang w:val="fi-FI"/>
        </w:rPr>
      </w:pPr>
      <w:r>
        <w:rPr>
          <w:rFonts w:hint="default" w:ascii="Cambria" w:hAnsi="Cambria" w:cs="Cambria"/>
          <w:sz w:val="24"/>
          <w:szCs w:val="24"/>
          <w:lang w:val="fi-FI"/>
        </w:rPr>
        <w:t xml:space="preserve"> </w:t>
      </w:r>
    </w:p>
    <w:p>
      <w:pPr>
        <w:spacing w:after="0" w:line="360" w:lineRule="auto"/>
        <w:jc w:val="center"/>
        <w:rPr>
          <w:rFonts w:hint="default" w:ascii="Cambria" w:hAnsi="Cambria" w:cs="Cambria"/>
          <w:sz w:val="24"/>
          <w:szCs w:val="24"/>
          <w:lang w:val="fi-FI"/>
        </w:rPr>
      </w:pPr>
      <w:r>
        <w:rPr>
          <w:rFonts w:hint="default" w:ascii="Cambria" w:hAnsi="Cambria" w:cs="Cambria"/>
          <w:sz w:val="24"/>
          <w:szCs w:val="24"/>
          <w:lang w:val="fi-FI"/>
        </w:rPr>
        <w:t>***</w:t>
      </w: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r>
        <w:rPr>
          <w:rFonts w:hint="default" w:ascii="Cambria" w:hAnsi="Cambria" w:cs="Cambria"/>
          <w:b/>
          <w:sz w:val="24"/>
          <w:szCs w:val="24"/>
        </w:rPr>
        <mc:AlternateContent>
          <mc:Choice Requires="wps">
            <w:drawing>
              <wp:anchor distT="0" distB="0" distL="114300" distR="114300" simplePos="0" relativeHeight="251663360" behindDoc="0" locked="0" layoutInCell="1" allowOverlap="1">
                <wp:simplePos x="0" y="0"/>
                <wp:positionH relativeFrom="column">
                  <wp:posOffset>-629920</wp:posOffset>
                </wp:positionH>
                <wp:positionV relativeFrom="paragraph">
                  <wp:posOffset>412750</wp:posOffset>
                </wp:positionV>
                <wp:extent cx="6049645" cy="520700"/>
                <wp:effectExtent l="0" t="0" r="0" b="0"/>
                <wp:wrapSquare wrapText="bothSides"/>
                <wp:docPr id="244" name="WordArt 964"/>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49645" cy="520700"/>
                        </a:xfrm>
                        <a:prstGeom prst="rect">
                          <a:avLst/>
                        </a:prstGeom>
                      </wps:spPr>
                      <wps:txbx>
                        <w:txbxContent>
                          <w:p>
                            <w:pPr>
                              <w:pStyle w:val="8"/>
                              <w:spacing w:before="0" w:beforeAutospacing="0" w:after="0" w:afterAutospacing="0"/>
                              <w:rPr>
                                <w:color w:val="FF0000"/>
                                <w14:reflection w14:blurRad="6350" w14:stA="53000" w14:stPos="0" w14:endA="300" w14:endPos="35500" w14:dist="0" w14:dir="5400000" w14:fadeDir="5400000" w14:sx="100000" w14:sy="-90000" w14:kx="0" w14:ky="0" w14:algn="bl"/>
                                <w14:textOutline w14:w="9525" w14:cap="flat" w14:cmpd="sng" w14:algn="ctr">
                                  <w14:solidFill>
                                    <w14:schemeClr w14:val="accent2">
                                      <w14:lumMod w14:val="60000"/>
                                      <w14:lumOff w14:val="40000"/>
                                    </w14:schemeClr>
                                  </w14:solidFill>
                                  <w14:prstDash w14:val="solid"/>
                                  <w14:round/>
                                </w14:textOutline>
                                <w14:textFill>
                                  <w14:gradFill>
                                    <w14:gsLst>
                                      <w14:gs w14:pos="0">
                                        <w14:srgbClr w14:val="FF0000"/>
                                      </w14:gs>
                                      <w14:gs w14:pos="50000">
                                        <w14:schemeClr w14:val="accent5"/>
                                      </w14:gs>
                                      <w14:gs w14:pos="100000">
                                        <w14:schemeClr w14:val="accent5">
                                          <w14:lumMod w14:val="60000"/>
                                          <w14:lumOff w14:val="40000"/>
                                        </w14:schemeClr>
                                      </w14:gs>
                                    </w14:gsLst>
                                    <w14:lin w14:ang="5400000" w14:scaled="0"/>
                                  </w14:gradFill>
                                </w14:textFill>
                              </w:rPr>
                            </w:pPr>
                            <w:r>
                              <w:rPr>
                                <w:rFonts w:ascii="Arial Black" w:hAnsi="Arial Black"/>
                                <w:sz w:val="72"/>
                                <w:szCs w:val="72"/>
                                <w14:reflection w14:blurRad="6350" w14:stA="53000" w14:stPos="0" w14:endA="300" w14:endPos="35500" w14:dist="0" w14:dir="5400000" w14:fadeDir="5400000" w14:sx="100000" w14:sy="-90000" w14:kx="0" w14:ky="0" w14:algn="bl"/>
                                <w14:textOutline w14:w="9525" w14:cap="flat" w14:cmpd="sng" w14:algn="ctr">
                                  <w14:solidFill>
                                    <w14:schemeClr w14:val="accent2">
                                      <w14:lumMod w14:val="60000"/>
                                      <w14:lumOff w14:val="40000"/>
                                    </w14:schemeClr>
                                  </w14:solidFill>
                                  <w14:prstDash w14:val="solid"/>
                                  <w14:round/>
                                </w14:textOutline>
                                <w14:textFill>
                                  <w14:gradFill>
                                    <w14:gsLst>
                                      <w14:gs w14:pos="0">
                                        <w14:srgbClr w14:val="FF0000"/>
                                      </w14:gs>
                                      <w14:gs w14:pos="50000">
                                        <w14:schemeClr w14:val="accent5"/>
                                      </w14:gs>
                                      <w14:gs w14:pos="100000">
                                        <w14:schemeClr w14:val="accent5">
                                          <w14:lumMod w14:val="60000"/>
                                          <w14:lumOff w14:val="40000"/>
                                        </w14:schemeClr>
                                      </w14:gs>
                                    </w14:gsLst>
                                    <w14:lin w14:ang="5400000" w14:scaled="0"/>
                                  </w14:gradFill>
                                </w14:textFill>
                              </w:rPr>
                              <w:t>LAMPIRAN - LAMPIRAN</w:t>
                            </w:r>
                          </w:p>
                        </w:txbxContent>
                      </wps:txbx>
                      <wps:bodyPr wrap="square" numCol="1" fromWordArt="1">
                        <a:prstTxWarp prst="textPlain">
                          <a:avLst>
                            <a:gd name="adj" fmla="val 50362"/>
                          </a:avLst>
                        </a:prstTxWarp>
                        <a:noAutofit/>
                      </wps:bodyPr>
                    </wps:wsp>
                  </a:graphicData>
                </a:graphic>
              </wp:anchor>
            </w:drawing>
          </mc:Choice>
          <mc:Fallback>
            <w:pict>
              <v:shape id="WordArt 964" o:spid="_x0000_s1026" o:spt="202" type="#_x0000_t202" style="position:absolute;left:0pt;margin-left:-49.6pt;margin-top:32.5pt;height:41pt;width:476.35pt;mso-wrap-distance-bottom:0pt;mso-wrap-distance-left:9pt;mso-wrap-distance-right:9pt;mso-wrap-distance-top:0pt;z-index:251663360;mso-width-relative:page;mso-height-relative:page;" filled="f" stroked="f" coordsize="21600,21600" o:gfxdata="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rgv75NkAAAAKAQAADwAA&#10;AAAAAAABACAAAAAiAAAAZHJzL2Rvd25yZXYueG1sUEsBAhQAFAAAAAgAh07iQNNAK4gVAgAAKwQA&#10;AA4AAAAAAAAAAQAgAAAAKAEAAGRycy9lMm9Eb2MueG1sUEsFBgAAAAAGAAYAWQEAAK8FAAAAAA==&#10;" adj="10878">
                <v:fill on="f" focussize="0,0"/>
                <v:stroke on="f"/>
                <v:imagedata o:title=""/>
                <o:lock v:ext="edit" text="t" aspectratio="f"/>
                <v:textbox>
                  <w:txbxContent>
                    <w:p>
                      <w:pPr>
                        <w:pStyle w:val="8"/>
                        <w:spacing w:before="0" w:beforeAutospacing="0" w:after="0" w:afterAutospacing="0"/>
                        <w:rPr>
                          <w:color w:val="FF0000"/>
                          <w14:reflection w14:blurRad="6350" w14:stA="53000" w14:stPos="0" w14:endA="300" w14:endPos="35500" w14:dist="0" w14:dir="5400000" w14:fadeDir="5400000" w14:sx="100000" w14:sy="-90000" w14:kx="0" w14:ky="0" w14:algn="bl"/>
                          <w14:textOutline w14:w="9525" w14:cap="flat" w14:cmpd="sng" w14:algn="ctr">
                            <w14:solidFill>
                              <w14:schemeClr w14:val="accent2">
                                <w14:lumMod w14:val="60000"/>
                                <w14:lumOff w14:val="40000"/>
                              </w14:schemeClr>
                            </w14:solidFill>
                            <w14:prstDash w14:val="solid"/>
                            <w14:round/>
                          </w14:textOutline>
                          <w14:textFill>
                            <w14:gradFill>
                              <w14:gsLst>
                                <w14:gs w14:pos="0">
                                  <w14:srgbClr w14:val="FF0000"/>
                                </w14:gs>
                                <w14:gs w14:pos="50000">
                                  <w14:schemeClr w14:val="accent5"/>
                                </w14:gs>
                                <w14:gs w14:pos="100000">
                                  <w14:schemeClr w14:val="accent5">
                                    <w14:lumMod w14:val="60000"/>
                                    <w14:lumOff w14:val="40000"/>
                                  </w14:schemeClr>
                                </w14:gs>
                              </w14:gsLst>
                              <w14:lin w14:ang="5400000" w14:scaled="0"/>
                            </w14:gradFill>
                          </w14:textFill>
                        </w:rPr>
                      </w:pPr>
                      <w:r>
                        <w:rPr>
                          <w:rFonts w:ascii="Arial Black" w:hAnsi="Arial Black"/>
                          <w:sz w:val="72"/>
                          <w:szCs w:val="72"/>
                          <w14:reflection w14:blurRad="6350" w14:stA="53000" w14:stPos="0" w14:endA="300" w14:endPos="35500" w14:dist="0" w14:dir="5400000" w14:fadeDir="5400000" w14:sx="100000" w14:sy="-90000" w14:kx="0" w14:ky="0" w14:algn="bl"/>
                          <w14:textOutline w14:w="9525" w14:cap="flat" w14:cmpd="sng" w14:algn="ctr">
                            <w14:solidFill>
                              <w14:schemeClr w14:val="accent2">
                                <w14:lumMod w14:val="60000"/>
                                <w14:lumOff w14:val="40000"/>
                              </w14:schemeClr>
                            </w14:solidFill>
                            <w14:prstDash w14:val="solid"/>
                            <w14:round/>
                          </w14:textOutline>
                          <w14:textFill>
                            <w14:gradFill>
                              <w14:gsLst>
                                <w14:gs w14:pos="0">
                                  <w14:srgbClr w14:val="FF0000"/>
                                </w14:gs>
                                <w14:gs w14:pos="50000">
                                  <w14:schemeClr w14:val="accent5"/>
                                </w14:gs>
                                <w14:gs w14:pos="100000">
                                  <w14:schemeClr w14:val="accent5">
                                    <w14:lumMod w14:val="60000"/>
                                    <w14:lumOff w14:val="40000"/>
                                  </w14:schemeClr>
                                </w14:gs>
                              </w14:gsLst>
                              <w14:lin w14:ang="5400000" w14:scaled="0"/>
                            </w14:gradFill>
                          </w14:textFill>
                        </w:rPr>
                        <w:t>LAMPIRAN - LAMPIRAN</w:t>
                      </w:r>
                    </w:p>
                  </w:txbxContent>
                </v:textbox>
                <w10:wrap type="square"/>
              </v:shape>
            </w:pict>
          </mc:Fallback>
        </mc:AlternateContent>
      </w: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p>
      <w:pPr>
        <w:spacing w:after="0" w:line="360" w:lineRule="auto"/>
        <w:jc w:val="center"/>
        <w:rPr>
          <w:rFonts w:hint="default" w:ascii="Cambria" w:hAnsi="Cambria" w:cs="Cambria"/>
          <w:sz w:val="24"/>
          <w:szCs w:val="24"/>
        </w:rPr>
      </w:pPr>
    </w:p>
    <w:sectPr>
      <w:pgSz w:w="11907" w:h="16839"/>
      <w:pgMar w:top="1701" w:right="1701" w:bottom="1701" w:left="2268" w:header="680" w:footer="340" w:gutter="0"/>
      <w:pgBorders>
        <w:top w:val="none" w:sz="0" w:space="0"/>
        <w:left w:val="none" w:sz="0" w:space="0"/>
        <w:bottom w:val="none" w:sz="0" w:space="0"/>
        <w:right w:val="none" w:sz="0" w:space="0"/>
      </w:pgBorders>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Futura Bk BT">
    <w:panose1 w:val="020B0502020204020303"/>
    <w:charset w:val="00"/>
    <w:family w:val="swiss"/>
    <w:pitch w:val="default"/>
    <w:sig w:usb0="800000AF" w:usb1="1000204A" w:usb2="00000000" w:usb3="00000000" w:csb0="00000011" w:csb1="00000000"/>
  </w:font>
  <w:font w:name="Humanst521 Lt BT">
    <w:panose1 w:val="020B0402020204020304"/>
    <w:charset w:val="00"/>
    <w:family w:val="swiss"/>
    <w:pitch w:val="default"/>
    <w:sig w:usb0="800000AF" w:usb1="1000204A" w:usb2="00000000" w:usb3="00000000" w:csb0="00000011" w:csb1="00000000"/>
  </w:font>
  <w:font w:name="Symbol">
    <w:panose1 w:val="05050102010706020507"/>
    <w:charset w:val="02"/>
    <w:family w:val="roman"/>
    <w:pitch w:val="default"/>
    <w:sig w:usb0="00000000" w:usb1="00000000" w:usb2="00000000" w:usb3="00000000" w:csb0="80000000" w:csb1="00000000"/>
  </w:font>
  <w:font w:name="Impact">
    <w:panose1 w:val="020B0806030902050204"/>
    <w:charset w:val="00"/>
    <w:family w:val="swiss"/>
    <w:pitch w:val="default"/>
    <w:sig w:usb0="00000287" w:usb1="00000000" w:usb2="00000000" w:usb3="00000000" w:csb0="2000009F" w:csb1="DFD70000"/>
  </w:font>
  <w:font w:name="Open Sans">
    <w:panose1 w:val="020B0606030504020204"/>
    <w:charset w:val="00"/>
    <w:family w:val="auto"/>
    <w:pitch w:val="default"/>
    <w:sig w:usb0="E00002EF" w:usb1="4000205B" w:usb2="00000028" w:usb3="00000000" w:csb0="2000019F" w:csb1="00000000"/>
  </w:font>
  <w:font w:name="Humanst521 BT">
    <w:panose1 w:val="020B0602020204020204"/>
    <w:charset w:val="00"/>
    <w:family w:val="swiss"/>
    <w:pitch w:val="default"/>
    <w:sig w:usb0="800000AF" w:usb1="1000204A" w:usb2="00000000" w:usb3="00000000" w:csb0="00000011" w:csb1="00000000"/>
  </w:font>
  <w:font w:name="Arial Black">
    <w:panose1 w:val="020B0A04020102020204"/>
    <w:charset w:val="00"/>
    <w:family w:val="swiss"/>
    <w:pitch w:val="default"/>
    <w:sig w:usb0="A00002AF" w:usb1="400078FB" w:usb2="00000000" w:usb3="00000000" w:csb0="6000009F" w:csb1="DFD70000"/>
  </w:font>
  <w:font w:name="Calibri">
    <w:panose1 w:val="020F0502020204030204"/>
    <w:charset w:val="86"/>
    <w:family w:val="swiss"/>
    <w:pitch w:val="default"/>
    <w:sig w:usb0="E4002EFF" w:usb1="C000247B" w:usb2="00000009" w:usb3="00000000" w:csb0="200001FF" w:csb1="00000000"/>
  </w:font>
  <w:font w:name="Agency FB">
    <w:panose1 w:val="020B0503020202020204"/>
    <w:charset w:val="00"/>
    <w:family w:val="swiss"/>
    <w:pitch w:val="default"/>
    <w:sig w:usb0="00000003" w:usb1="00000000" w:usb2="00000000" w:usb3="00000000" w:csb0="20000001" w:csb1="00000000"/>
  </w:font>
  <w:font w:name="Lao UI">
    <w:altName w:val="Segoe Print"/>
    <w:panose1 w:val="00000000000000000000"/>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auto"/>
    <w:pitch w:val="default"/>
    <w:sig w:usb0="E00006FF" w:usb1="420024FF" w:usb2="02000000" w:usb3="00000000" w:csb0="2000019F" w:csb1="00000000"/>
  </w:font>
  <w:font w:name="Bookman Old Style">
    <w:panose1 w:val="02050604050505020204"/>
    <w:charset w:val="00"/>
    <w:family w:val="roman"/>
    <w:pitch w:val="default"/>
    <w:sig w:usb0="00000287" w:usb1="00000000" w:usb2="00000000" w:usb3="00000000" w:csb0="2000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22"/>
      </w:rPr>
      <mc:AlternateContent>
        <mc:Choice Requires="wps">
          <w:drawing>
            <wp:anchor distT="0" distB="0" distL="114300" distR="114300" simplePos="0" relativeHeight="251674624" behindDoc="0" locked="0" layoutInCell="1" allowOverlap="1">
              <wp:simplePos x="0" y="0"/>
              <wp:positionH relativeFrom="margin">
                <wp:posOffset>4783455</wp:posOffset>
              </wp:positionH>
              <wp:positionV relativeFrom="paragraph">
                <wp:posOffset>-506730</wp:posOffset>
              </wp:positionV>
              <wp:extent cx="219075" cy="18669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219075" cy="1866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376.65pt;margin-top:-39.9pt;height:14.7pt;width:17.25pt;mso-position-horizontal-relative:margin;z-index:251674624;mso-width-relative:page;mso-height-relative:page;" filled="f" stroked="f" coordsize="21600,21600" o:gfxdata="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KQCMqjaAAAACwEAAA8AAAAAAAAAAQAgAAAAIgAAAGRycy9kb3ducmV2LnhtbFBLAQIUABQA&#10;AAAIAIdO4kAh+317JwIAAGIEAAAOAAAAAAAAAAEAIAAAACkBAABkcnMvZTJvRG9jLnhtbFBLBQYA&#10;AAAABgAGAFkBAADCBQAAAAA=&#10;">
              <v:fill on="f" focussize="0,0"/>
              <v:stroke on="f" weight="0.5pt"/>
              <v:imagedata o:title=""/>
              <o:lock v:ext="edit" aspectratio="f"/>
              <v:textbox inset="0mm,0mm,0mm,0mm">
                <w:txbxContent>
                  <w:p>
                    <w:pPr>
                      <w:pStyle w:val="6"/>
                    </w:pPr>
                    <w:r>
                      <w:fldChar w:fldCharType="begin"/>
                    </w:r>
                    <w:r>
                      <w:instrText xml:space="preserve"> PAGE  \* MERGEFORMAT </w:instrText>
                    </w:r>
                    <w:r>
                      <w:fldChar w:fldCharType="separate"/>
                    </w:r>
                    <w:r>
                      <w:t>1</w:t>
                    </w:r>
                    <w:r>
                      <w:fldChar w:fldCharType="end"/>
                    </w:r>
                  </w:p>
                </w:txbxContent>
              </v:textbox>
            </v:shape>
          </w:pict>
        </mc:Fallback>
      </mc:AlternateContent>
    </w:r>
    <w:r>
      <w:rPr>
        <w:sz w:val="22"/>
      </w:rPr>
      <mc:AlternateContent>
        <mc:Choice Requires="wps">
          <w:drawing>
            <wp:anchor distT="0" distB="0" distL="114300" distR="114300" simplePos="0" relativeHeight="251671552" behindDoc="0" locked="0" layoutInCell="1" allowOverlap="1">
              <wp:simplePos x="0" y="0"/>
              <wp:positionH relativeFrom="column">
                <wp:posOffset>-283210</wp:posOffset>
              </wp:positionH>
              <wp:positionV relativeFrom="paragraph">
                <wp:posOffset>-17780</wp:posOffset>
              </wp:positionV>
              <wp:extent cx="2419350" cy="0"/>
              <wp:effectExtent l="0" t="0" r="0" b="0"/>
              <wp:wrapNone/>
              <wp:docPr id="15" name="Straight Connector 15"/>
              <wp:cNvGraphicFramePr/>
              <a:graphic xmlns:a="http://schemas.openxmlformats.org/drawingml/2006/main">
                <a:graphicData uri="http://schemas.microsoft.com/office/word/2010/wordprocessingShape">
                  <wps:wsp>
                    <wps:cNvCnPr/>
                    <wps:spPr>
                      <a:xfrm>
                        <a:off x="1156970" y="10269220"/>
                        <a:ext cx="24193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2.3pt;margin-top:-1.4pt;height:0pt;width:190.5pt;z-index:251671552;mso-width-relative:page;mso-height-relative:page;" filled="f" stroked="t" coordsize="21600,21600" o:gfxdata="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CZKEF2QAAAAkBAAAPAAAAAAAAAAEAIAAAACIAAABkcnMvZG93bnJldi54bWxQSwEC&#10;FAAUAAAACACHTuJA8Pb3Z/MBAADlAwAADgAAAAAAAAABACAAAAAoAQAAZHJzL2Uyb0RvYy54bWxQ&#10;SwUGAAAAAAYABgBZAQAAjQUAAAAA&#10;">
              <v:fill on="f" focussize="0,0"/>
              <v:stroke color="#4A7EBB [3204]" joinstyle="round"/>
              <v:imagedata o:title=""/>
              <o:lock v:ext="edit" aspectratio="f"/>
            </v:line>
          </w:pict>
        </mc:Fallback>
      </mc:AlternateContent>
    </w:r>
    <w:r>
      <mc:AlternateContent>
        <mc:Choice Requires="wps">
          <w:drawing>
            <wp:anchor distT="0" distB="0" distL="114300" distR="114300" simplePos="0" relativeHeight="251673600" behindDoc="1" locked="0" layoutInCell="1" allowOverlap="1">
              <wp:simplePos x="0" y="0"/>
              <wp:positionH relativeFrom="column">
                <wp:posOffset>-695325</wp:posOffset>
              </wp:positionH>
              <wp:positionV relativeFrom="paragraph">
                <wp:posOffset>-438150</wp:posOffset>
              </wp:positionV>
              <wp:extent cx="3265170" cy="685800"/>
              <wp:effectExtent l="0" t="0" r="11430" b="0"/>
              <wp:wrapNone/>
              <wp:docPr id="31" name="Text Box 31"/>
              <wp:cNvGraphicFramePr/>
              <a:graphic xmlns:a="http://schemas.openxmlformats.org/drawingml/2006/main">
                <a:graphicData uri="http://schemas.microsoft.com/office/word/2010/wordprocessingShape">
                  <wps:wsp>
                    <wps:cNvSpPr txBox="1"/>
                    <wps:spPr>
                      <a:xfrm>
                        <a:off x="0" y="0"/>
                        <a:ext cx="3265170" cy="685800"/>
                      </a:xfrm>
                      <a:prstGeom prst="rect">
                        <a:avLst/>
                      </a:prstGeom>
                      <a:solidFill>
                        <a:schemeClr val="lt1"/>
                      </a:solidFill>
                      <a:ln w="6350">
                        <a:noFill/>
                      </a:ln>
                    </wps:spPr>
                    <wps:txbx>
                      <w:txbxContent>
                        <w:p>
                          <w:pPr>
                            <w:spacing w:after="0" w:line="240" w:lineRule="auto"/>
                            <w:jc w:val="center"/>
                            <w:rPr>
                              <w:rFonts w:ascii="Agency FB" w:hAnsi="Agency FB" w:cs="Lao UI"/>
                              <w:sz w:val="20"/>
                              <w:lang w:val="id-ID"/>
                            </w:rPr>
                          </w:pPr>
                        </w:p>
                        <w:p>
                          <w:pPr>
                            <w:spacing w:after="0" w:line="240" w:lineRule="auto"/>
                            <w:jc w:val="center"/>
                            <w:rPr>
                              <w:rFonts w:ascii="Agency FB" w:hAnsi="Agency FB" w:cs="Lao UI"/>
                              <w:sz w:val="4"/>
                              <w:szCs w:val="4"/>
                              <w:lang w:val="id-ID"/>
                            </w:rPr>
                          </w:pPr>
                        </w:p>
                        <w:p>
                          <w:pPr>
                            <w:spacing w:after="0" w:line="240" w:lineRule="auto"/>
                            <w:jc w:val="center"/>
                            <w:rPr>
                              <w:rFonts w:hint="default" w:ascii="Agency FB" w:hAnsi="Agency FB" w:cs="Lao UI"/>
                              <w:sz w:val="10"/>
                              <w:szCs w:val="10"/>
                              <w:lang w:val="en-US"/>
                            </w:rPr>
                          </w:pPr>
                          <w:r>
                            <w:rPr>
                              <w:rFonts w:ascii="Agency FB" w:hAnsi="Agency FB" w:cs="Lao UI"/>
                              <w:sz w:val="20"/>
                              <w:lang w:val="id-ID"/>
                            </w:rPr>
                            <w:t xml:space="preserve">Laporan </w:t>
                          </w:r>
                          <w:r>
                            <w:rPr>
                              <w:rFonts w:hint="default" w:ascii="Agency FB" w:hAnsi="Agency FB" w:cs="Lao UI"/>
                              <w:sz w:val="20"/>
                              <w:lang w:val="en-US"/>
                            </w:rPr>
                            <w:t>Akuntabilitas Kinerja Instansi Pemerintah 2023</w:t>
                          </w:r>
                        </w:p>
                        <w:p>
                          <w:pPr>
                            <w:spacing w:after="0" w:line="240" w:lineRule="auto"/>
                            <w:jc w:val="center"/>
                            <w:rPr>
                              <w:rFonts w:ascii="Agency FB" w:hAnsi="Agency FB" w:cs="Lao UI"/>
                              <w:sz w:val="10"/>
                              <w:szCs w:val="10"/>
                              <w:lang w:val="id-ID"/>
                            </w:rPr>
                          </w:pPr>
                        </w:p>
                        <w:p>
                          <w:pPr>
                            <w:spacing w:after="0" w:line="240" w:lineRule="auto"/>
                            <w:jc w:val="center"/>
                            <w:rPr>
                              <w:rFonts w:ascii="Agency FB" w:hAnsi="Agency FB" w:cs="Lao UI"/>
                              <w:sz w:val="20"/>
                              <w:lang w:val="id-ID"/>
                            </w:rPr>
                          </w:pPr>
                          <w:r>
                            <w:rPr>
                              <w:rFonts w:ascii="Agency FB" w:hAnsi="Agency FB" w:cs="Lao UI"/>
                              <w:sz w:val="20"/>
                              <w:lang w:val="id-ID"/>
                            </w:rPr>
                            <w:t>Dinas Perindustrian, Perdagangan, Koperasi, Usaha Kecil dan Menengah</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75pt;margin-top:-34.5pt;height:54pt;width:257.1pt;z-index:-251642880;mso-width-relative:page;mso-height-relative:page;" fillcolor="#FFFFFF [3201]" filled="t" stroked="f" coordsize="21600,21600" o:gfxdata="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&#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IhjwanWAAAACwEAAA8AAAAAAAAAAQAgAAAAIgAAAGRy&#10;cy9kb3ducmV2LnhtbFBLAQIUABQAAAAIAIdO4kBR6pTtQAIAAJAEAAAOAAAAAAAAAAEAIAAAACUB&#10;AABkcnMvZTJvRG9jLnhtbFBLBQYAAAAABgAGAFkBAADXBQAAAAA=&#10;">
              <v:fill on="t" focussize="0,0"/>
              <v:stroke on="f" weight="0.5pt"/>
              <v:imagedata o:title=""/>
              <o:lock v:ext="edit" aspectratio="f"/>
              <v:textbox>
                <w:txbxContent>
                  <w:p>
                    <w:pPr>
                      <w:spacing w:after="0" w:line="240" w:lineRule="auto"/>
                      <w:jc w:val="center"/>
                      <w:rPr>
                        <w:rFonts w:ascii="Agency FB" w:hAnsi="Agency FB" w:cs="Lao UI"/>
                        <w:sz w:val="20"/>
                        <w:lang w:val="id-ID"/>
                      </w:rPr>
                    </w:pPr>
                  </w:p>
                  <w:p>
                    <w:pPr>
                      <w:spacing w:after="0" w:line="240" w:lineRule="auto"/>
                      <w:jc w:val="center"/>
                      <w:rPr>
                        <w:rFonts w:ascii="Agency FB" w:hAnsi="Agency FB" w:cs="Lao UI"/>
                        <w:sz w:val="4"/>
                        <w:szCs w:val="4"/>
                        <w:lang w:val="id-ID"/>
                      </w:rPr>
                    </w:pPr>
                  </w:p>
                  <w:p>
                    <w:pPr>
                      <w:spacing w:after="0" w:line="240" w:lineRule="auto"/>
                      <w:jc w:val="center"/>
                      <w:rPr>
                        <w:rFonts w:hint="default" w:ascii="Agency FB" w:hAnsi="Agency FB" w:cs="Lao UI"/>
                        <w:sz w:val="10"/>
                        <w:szCs w:val="10"/>
                        <w:lang w:val="en-US"/>
                      </w:rPr>
                    </w:pPr>
                    <w:r>
                      <w:rPr>
                        <w:rFonts w:ascii="Agency FB" w:hAnsi="Agency FB" w:cs="Lao UI"/>
                        <w:sz w:val="20"/>
                        <w:lang w:val="id-ID"/>
                      </w:rPr>
                      <w:t xml:space="preserve">Laporan </w:t>
                    </w:r>
                    <w:r>
                      <w:rPr>
                        <w:rFonts w:hint="default" w:ascii="Agency FB" w:hAnsi="Agency FB" w:cs="Lao UI"/>
                        <w:sz w:val="20"/>
                        <w:lang w:val="en-US"/>
                      </w:rPr>
                      <w:t>Akuntabilitas Kinerja Instansi Pemerintah 2023</w:t>
                    </w:r>
                  </w:p>
                  <w:p>
                    <w:pPr>
                      <w:spacing w:after="0" w:line="240" w:lineRule="auto"/>
                      <w:jc w:val="center"/>
                      <w:rPr>
                        <w:rFonts w:ascii="Agency FB" w:hAnsi="Agency FB" w:cs="Lao UI"/>
                        <w:sz w:val="10"/>
                        <w:szCs w:val="10"/>
                        <w:lang w:val="id-ID"/>
                      </w:rPr>
                    </w:pPr>
                  </w:p>
                  <w:p>
                    <w:pPr>
                      <w:spacing w:after="0" w:line="240" w:lineRule="auto"/>
                      <w:jc w:val="center"/>
                      <w:rPr>
                        <w:rFonts w:ascii="Agency FB" w:hAnsi="Agency FB" w:cs="Lao UI"/>
                        <w:sz w:val="20"/>
                        <w:lang w:val="id-ID"/>
                      </w:rPr>
                    </w:pPr>
                    <w:r>
                      <w:rPr>
                        <w:rFonts w:ascii="Agency FB" w:hAnsi="Agency FB" w:cs="Lao UI"/>
                        <w:sz w:val="20"/>
                        <w:lang w:val="id-ID"/>
                      </w:rPr>
                      <w:t>Dinas Perindustrian, Perdagangan, Koperasi, Usaha Kecil dan Menengah</w:t>
                    </w:r>
                  </w:p>
                </w:txbxContent>
              </v:textbox>
            </v:shape>
          </w:pict>
        </mc:Fallback>
      </mc:AlternateContent>
    </w:r>
    <w:r>
      <mc:AlternateContent>
        <mc:Choice Requires="wpg">
          <w:drawing>
            <wp:anchor distT="0" distB="0" distL="114300" distR="114300" simplePos="0" relativeHeight="251670528" behindDoc="0" locked="0" layoutInCell="1" allowOverlap="1">
              <wp:simplePos x="0" y="0"/>
              <wp:positionH relativeFrom="column">
                <wp:posOffset>2813685</wp:posOffset>
              </wp:positionH>
              <wp:positionV relativeFrom="paragraph">
                <wp:posOffset>-192405</wp:posOffset>
              </wp:positionV>
              <wp:extent cx="3306445" cy="359410"/>
              <wp:effectExtent l="12700" t="12700" r="14605" b="27940"/>
              <wp:wrapNone/>
              <wp:docPr id="21" name="Group 21"/>
              <wp:cNvGraphicFramePr/>
              <a:graphic xmlns:a="http://schemas.openxmlformats.org/drawingml/2006/main">
                <a:graphicData uri="http://schemas.microsoft.com/office/word/2010/wordprocessingGroup">
                  <wpg:wgp>
                    <wpg:cNvGrpSpPr/>
                    <wpg:grpSpPr>
                      <a:xfrm rot="10800000">
                        <a:off x="0" y="0"/>
                        <a:ext cx="3306445" cy="359410"/>
                        <a:chOff x="0" y="0"/>
                        <a:chExt cx="2868295" cy="360000"/>
                      </a:xfrm>
                    </wpg:grpSpPr>
                    <wps:wsp>
                      <wps:cNvPr id="23" name="Parallelogram 19"/>
                      <wps:cNvSpPr/>
                      <wps:spPr>
                        <a:xfrm>
                          <a:off x="800100" y="0"/>
                          <a:ext cx="467995" cy="359410"/>
                        </a:xfrm>
                        <a:prstGeom prst="parallelogram">
                          <a:avLst/>
                        </a:prstGeom>
                        <a:solidFill>
                          <a:srgbClr val="3F6EA7"/>
                        </a:solidFill>
                        <a:ln>
                          <a:solidFill>
                            <a:srgbClr val="3F6EA7"/>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 name="Parallelogram 20"/>
                      <wps:cNvSpPr/>
                      <wps:spPr>
                        <a:xfrm>
                          <a:off x="1200150" y="0"/>
                          <a:ext cx="467995" cy="359410"/>
                        </a:xfrm>
                        <a:prstGeom prst="parallelogram">
                          <a:avLst/>
                        </a:prstGeom>
                        <a:solidFill>
                          <a:srgbClr val="4F81BD"/>
                        </a:solidFill>
                        <a:ln>
                          <a:solidFill>
                            <a:srgbClr val="4F81BD"/>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5" name="Parallelogram 21"/>
                      <wps:cNvSpPr/>
                      <wps:spPr>
                        <a:xfrm>
                          <a:off x="1600200" y="0"/>
                          <a:ext cx="467995" cy="359410"/>
                        </a:xfrm>
                        <a:prstGeom prst="parallelogram">
                          <a:avLst/>
                        </a:prstGeom>
                        <a:solidFill>
                          <a:srgbClr val="739BCB"/>
                        </a:solidFill>
                        <a:ln>
                          <a:solidFill>
                            <a:srgbClr val="739BC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7" name="Parallelogram 23"/>
                      <wps:cNvSpPr/>
                      <wps:spPr>
                        <a:xfrm>
                          <a:off x="2000250" y="0"/>
                          <a:ext cx="467995" cy="359410"/>
                        </a:xfrm>
                        <a:prstGeom prst="parallelogram">
                          <a:avLst/>
                        </a:prstGeom>
                        <a:solidFill>
                          <a:srgbClr val="A0BBDC"/>
                        </a:solidFill>
                        <a:ln>
                          <a:solidFill>
                            <a:srgbClr val="A0BBD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8" name="Parallelogram 24"/>
                      <wps:cNvSpPr/>
                      <wps:spPr>
                        <a:xfrm>
                          <a:off x="2400300" y="0"/>
                          <a:ext cx="467995" cy="359410"/>
                        </a:xfrm>
                        <a:prstGeom prst="parallelogram">
                          <a:avLst/>
                        </a:prstGeom>
                        <a:solidFill>
                          <a:srgbClr val="CCDAEC"/>
                        </a:solidFill>
                        <a:ln>
                          <a:solidFill>
                            <a:srgbClr val="CCDAE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9" name="Parallelogram 25"/>
                      <wps:cNvSpPr/>
                      <wps:spPr>
                        <a:xfrm>
                          <a:off x="400050" y="0"/>
                          <a:ext cx="467995" cy="359410"/>
                        </a:xfrm>
                        <a:prstGeom prst="parallelogram">
                          <a:avLst/>
                        </a:prstGeom>
                        <a:solidFill>
                          <a:srgbClr val="3A669C"/>
                        </a:solidFill>
                        <a:ln>
                          <a:solidFill>
                            <a:srgbClr val="3A669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0" name="Parallelogram 27"/>
                      <wps:cNvSpPr/>
                      <wps:spPr>
                        <a:xfrm>
                          <a:off x="0" y="0"/>
                          <a:ext cx="468000" cy="360000"/>
                        </a:xfrm>
                        <a:prstGeom prst="parallelogram">
                          <a:avLst/>
                        </a:prstGeom>
                        <a:solidFill>
                          <a:srgbClr val="32588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21.55pt;margin-top:-15.15pt;height:28.3pt;width:260.35pt;rotation:11796480f;z-index:251670528;mso-width-relative:page;mso-height-relative:page;" coordsize="2868295,360000" o:gfxdata="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">
              <o:lock v:ext="edit" aspectratio="f"/>
              <v:shape id="Parallelogram 19" o:spid="_x0000_s1026" o:spt="7" type="#_x0000_t7" style="position:absolute;left:800100;top:0;height:359410;width:467995;v-text-anchor:middle;" fillcolor="#3F6EA7" filled="t" stroked="t" coordsize="21600,21600" o:gfxdata="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0iY36/&#10;AAAA2wAAAA8AAAAAAAAAAQAgAAAAIgAAAGRycy9kb3ducmV2LnhtbFBLAQIUABQAAAAIAIdO4kAz&#10;LwWeOwAAADkAAAAQAAAAAAAAAAEAIAAAAA4BAABkcnMvc2hhcGV4bWwueG1sUEsFBgAAAAAGAAYA&#10;WwEAALgDAAAAAA==&#10;" adj="4147">
                <v:fill on="t" focussize="0,0"/>
                <v:stroke weight="2pt" color="#3F6EA7 [3204]" joinstyle="round"/>
                <v:imagedata o:title=""/>
                <o:lock v:ext="edit" aspectratio="f"/>
              </v:shape>
              <v:shape id="Parallelogram 20" o:spid="_x0000_s1026" o:spt="7" type="#_x0000_t7" style="position:absolute;left:1200150;top:0;height:359410;width:467995;v-text-anchor:middle;" fillcolor="#4F81BD" filled="t" stroked="t" coordsize="21600,21600" o:gfxdata="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qKX8L4A&#10;AADbAAAADwAAAAAAAAABACAAAAAiAAAAZHJzL2Rvd25yZXYueG1sUEsBAhQAFAAAAAgAh07iQDMv&#10;BZ47AAAAOQAAABAAAAAAAAAAAQAgAAAADQEAAGRycy9zaGFwZXhtbC54bWxQSwUGAAAAAAYABgBb&#10;AQAAtwMAAAAA&#10;" adj="4147">
                <v:fill on="t" focussize="0,0"/>
                <v:stroke weight="2pt" color="#4F81BD [3204]" joinstyle="round"/>
                <v:imagedata o:title=""/>
                <o:lock v:ext="edit" aspectratio="f"/>
              </v:shape>
              <v:shape id="Parallelogram 21" o:spid="_x0000_s1026" o:spt="7" type="#_x0000_t7" style="position:absolute;left:1600200;top:0;height:359410;width:467995;v-text-anchor:middle;" fillcolor="#739BCB" filled="t" stroked="t" coordsize="21600,21600" o:gfxdata="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UywwvQAA&#10;ANsAAAAPAAAAAAAAAAEAIAAAACIAAABkcnMvZG93bnJldi54bWxQSwECFAAUAAAACACHTuJAMy8F&#10;njsAAAA5AAAAEAAAAAAAAAABACAAAAAMAQAAZHJzL3NoYXBleG1sLnhtbFBLBQYAAAAABgAGAFsB&#10;AAC2AwAAAAA=&#10;" adj="4147">
                <v:fill on="t" focussize="0,0"/>
                <v:stroke weight="2pt" color="#739BCB [3204]" joinstyle="round"/>
                <v:imagedata o:title=""/>
                <o:lock v:ext="edit" aspectratio="f"/>
              </v:shape>
              <v:shape id="Parallelogram 23" o:spid="_x0000_s1026" o:spt="7" type="#_x0000_t7" style="position:absolute;left:2000250;top:0;height:359410;width:467995;v-text-anchor:middle;" fillcolor="#A0BBDC" filled="t" stroked="t" coordsize="21600,21600" o:gfxdata="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FSe74A&#10;AADbAAAADwAAAAAAAAABACAAAAAiAAAAZHJzL2Rvd25yZXYueG1sUEsBAhQAFAAAAAgAh07iQDMv&#10;BZ47AAAAOQAAABAAAAAAAAAAAQAgAAAADQEAAGRycy9zaGFwZXhtbC54bWxQSwUGAAAAAAYABgBb&#10;AQAAtwMAAAAA&#10;" adj="4147">
                <v:fill on="t" focussize="0,0"/>
                <v:stroke weight="2pt" color="#A0BBDC [3204]" joinstyle="round"/>
                <v:imagedata o:title=""/>
                <o:lock v:ext="edit" aspectratio="f"/>
              </v:shape>
              <v:shape id="Parallelogram 24" o:spid="_x0000_s1026" o:spt="7" type="#_x0000_t7" style="position:absolute;left:2400300;top:0;height:359410;width:467995;v-text-anchor:middle;" fillcolor="#CCDAEC" filled="t" stroked="t" coordsize="21600,21600" o:gfxdata="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lnxn7sAAADb&#10;AAAADwAAAAAAAAABACAAAAAiAAAAZHJzL2Rvd25yZXYueG1sUEsBAhQAFAAAAAgAh07iQDMvBZ47&#10;AAAAOQAAABAAAAAAAAAAAQAgAAAACgEAAGRycy9zaGFwZXhtbC54bWxQSwUGAAAAAAYABgBbAQAA&#10;tAMAAAAA&#10;" adj="4147">
                <v:fill on="t" focussize="0,0"/>
                <v:stroke weight="2pt" color="#CCDAEC [3204]" joinstyle="round"/>
                <v:imagedata o:title=""/>
                <o:lock v:ext="edit" aspectratio="f"/>
              </v:shape>
              <v:shape id="Parallelogram 25" o:spid="_x0000_s1026" o:spt="7" type="#_x0000_t7" style="position:absolute;left:400050;top:0;height:359410;width:467995;v-text-anchor:middle;" fillcolor="#3A669C" filled="t" stroked="t" coordsize="21600,21600" o:gfxdata="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XcgvQAA&#10;ANsAAAAPAAAAAAAAAAEAIAAAACIAAABkcnMvZG93bnJldi54bWxQSwECFAAUAAAACACHTuJAMy8F&#10;njsAAAA5AAAAEAAAAAAAAAABACAAAAAMAQAAZHJzL3NoYXBleG1sLnhtbFBLBQYAAAAABgAGAFsB&#10;AAC2AwAAAAA=&#10;" adj="4147">
                <v:fill on="t" focussize="0,0"/>
                <v:stroke weight="2pt" color="#3A669C [3204]" joinstyle="round"/>
                <v:imagedata o:title=""/>
                <o:lock v:ext="edit" aspectratio="f"/>
              </v:shape>
              <v:shape id="Parallelogram 27" o:spid="_x0000_s1026" o:spt="7" type="#_x0000_t7" style="position:absolute;left:0;top:0;height:360000;width:468000;v-text-anchor:middle;" fillcolor="#325886" filled="t" stroked="t" coordsize="21600,21600" o:gfxdata="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UxUPugAAANsA&#10;AAAPAAAAAAAAAAEAIAAAACIAAABkcnMvZG93bnJldi54bWxQSwECFAAUAAAACACHTuJAMy8FnjsA&#10;AAA5AAAAEAAAAAAAAAABACAAAAAJAQAAZHJzL3NoYXBleG1sLnhtbFBLBQYAAAAABgAGAFsBAACz&#10;AwAAAAA=&#10;" adj="4154">
                <v:fill on="t" focussize="0,0"/>
                <v:stroke weight="2pt" color="#385D8A [3204]" joinstyle="round"/>
                <v:imagedata o:title=""/>
                <o:lock v:ext="edit" aspectratio="f"/>
              </v:shap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r>
      <w:rPr>
        <w:rFonts w:ascii="Tahoma" w:hAnsi="Tahoma" w:cs="Tahoma"/>
        <w:color w:val="FFFFFF"/>
        <w:lang w:val="pt-BR"/>
      </w:rPr>
      <mc:AlternateContent>
        <mc:Choice Requires="wpg">
          <w:drawing>
            <wp:anchor distT="0" distB="0" distL="114300" distR="114300" simplePos="0" relativeHeight="251664384" behindDoc="1" locked="0" layoutInCell="1" allowOverlap="1">
              <wp:simplePos x="0" y="0"/>
              <wp:positionH relativeFrom="column">
                <wp:posOffset>3543300</wp:posOffset>
              </wp:positionH>
              <wp:positionV relativeFrom="paragraph">
                <wp:posOffset>-36195</wp:posOffset>
              </wp:positionV>
              <wp:extent cx="1746250" cy="450850"/>
              <wp:effectExtent l="0" t="0" r="6350" b="6350"/>
              <wp:wrapNone/>
              <wp:docPr id="17" name="Group 17"/>
              <wp:cNvGraphicFramePr/>
              <a:graphic xmlns:a="http://schemas.openxmlformats.org/drawingml/2006/main">
                <a:graphicData uri="http://schemas.microsoft.com/office/word/2010/wordprocessingGroup">
                  <wpg:wgp>
                    <wpg:cNvGrpSpPr/>
                    <wpg:grpSpPr>
                      <a:xfrm>
                        <a:off x="0" y="0"/>
                        <a:ext cx="1746250" cy="450850"/>
                        <a:chOff x="0" y="0"/>
                        <a:chExt cx="1746250" cy="450850"/>
                      </a:xfrm>
                    </wpg:grpSpPr>
                    <pic:pic xmlns:pic="http://schemas.openxmlformats.org/drawingml/2006/picture">
                      <pic:nvPicPr>
                        <pic:cNvPr id="19" name="Picture 10"/>
                        <pic:cNvPicPr/>
                      </pic:nvPicPr>
                      <pic:blipFill>
                        <a:blip r:embed="rId1" cstate="print">
                          <a:extLst>
                            <a:ext uri="{28A0092B-C50C-407E-A947-70E740481C1C}">
                              <a14:useLocalDpi xmlns:a14="http://schemas.microsoft.com/office/drawing/2010/main" val="0"/>
                            </a:ext>
                          </a:extLst>
                        </a:blip>
                        <a:stretch>
                          <a:fillRect/>
                        </a:stretch>
                      </pic:blipFill>
                      <pic:spPr>
                        <a:xfrm>
                          <a:off x="1314450" y="0"/>
                          <a:ext cx="431800" cy="431800"/>
                        </a:xfrm>
                        <a:prstGeom prst="rect">
                          <a:avLst/>
                        </a:prstGeom>
                      </pic:spPr>
                    </pic:pic>
                    <pic:pic xmlns:pic="http://schemas.openxmlformats.org/drawingml/2006/picture">
                      <pic:nvPicPr>
                        <pic:cNvPr id="20" name="Picture 11"/>
                        <pic:cNvPicPr/>
                      </pic:nvPicPr>
                      <pic:blipFill>
                        <a:blip r:embed="rId2" cstate="print">
                          <a:extLst>
                            <a:ext uri="{28A0092B-C50C-407E-A947-70E740481C1C}">
                              <a14:useLocalDpi xmlns:a14="http://schemas.microsoft.com/office/drawing/2010/main" val="0"/>
                            </a:ext>
                          </a:extLst>
                        </a:blip>
                        <a:stretch>
                          <a:fillRect/>
                        </a:stretch>
                      </pic:blipFill>
                      <pic:spPr>
                        <a:xfrm flipH="1">
                          <a:off x="828675" y="0"/>
                          <a:ext cx="431800" cy="431800"/>
                        </a:xfrm>
                        <a:prstGeom prst="rect">
                          <a:avLst/>
                        </a:prstGeom>
                      </pic:spPr>
                    </pic:pic>
                    <pic:pic xmlns:pic="http://schemas.openxmlformats.org/drawingml/2006/picture">
                      <pic:nvPicPr>
                        <pic:cNvPr id="22" name="Picture 22"/>
                        <pic:cNvPicPr/>
                      </pic:nvPicPr>
                      <pic:blipFill>
                        <a:blip r:embed="rId3" cstate="print">
                          <a:extLst>
                            <a:ext uri="{28A0092B-C50C-407E-A947-70E740481C1C}">
                              <a14:useLocalDpi xmlns:a14="http://schemas.microsoft.com/office/drawing/2010/main" val="0"/>
                            </a:ext>
                          </a:extLst>
                        </a:blip>
                        <a:stretch>
                          <a:fillRect/>
                        </a:stretch>
                      </pic:blipFill>
                      <pic:spPr>
                        <a:xfrm>
                          <a:off x="447675" y="19050"/>
                          <a:ext cx="431800" cy="431800"/>
                        </a:xfrm>
                        <a:prstGeom prst="rect">
                          <a:avLst/>
                        </a:prstGeom>
                      </pic:spPr>
                    </pic:pic>
                    <pic:pic xmlns:pic="http://schemas.openxmlformats.org/drawingml/2006/picture">
                      <pic:nvPicPr>
                        <pic:cNvPr id="26" name="Picture 26"/>
                        <pic:cNvPicPr/>
                      </pic:nvPicPr>
                      <pic:blipFill>
                        <a:blip r:embed="rId4">
                          <a:extLst>
                            <a:ext uri="{28A0092B-C50C-407E-A947-70E740481C1C}">
                              <a14:useLocalDpi xmlns:a14="http://schemas.microsoft.com/office/drawing/2010/main" val="0"/>
                            </a:ext>
                          </a:extLst>
                        </a:blip>
                        <a:stretch>
                          <a:fillRect/>
                        </a:stretch>
                      </pic:blipFill>
                      <pic:spPr>
                        <a:xfrm>
                          <a:off x="0" y="9525"/>
                          <a:ext cx="395605" cy="395605"/>
                        </a:xfrm>
                        <a:prstGeom prst="rect">
                          <a:avLst/>
                        </a:prstGeom>
                      </pic:spPr>
                    </pic:pic>
                  </wpg:wgp>
                </a:graphicData>
              </a:graphic>
            </wp:anchor>
          </w:drawing>
        </mc:Choice>
        <mc:Fallback>
          <w:pict>
            <v:group id="_x0000_s1026" o:spid="_x0000_s1026" o:spt="203" style="position:absolute;left:0pt;margin-left:279pt;margin-top:-2.85pt;height:35.5pt;width:137.5pt;z-index:-251652096;mso-width-relative:page;mso-height-relative:page;" coordsize="1746250,450850" o:gfxdata="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">
              <o:lock v:ext="edit" aspectratio="f"/>
              <v:shape id="Picture 10" o:spid="_x0000_s1026" o:spt="75" type="#_x0000_t75" style="position:absolute;left:1314450;top:0;height:431800;width:431800;" filled="f" o:preferrelative="t" stroked="f" coordsize="21600,21600" o:gfxdata="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IUM+8AAAA&#10;2wAAAA8AAAAAAAAAAQAgAAAAIgAAAGRycy9kb3ducmV2LnhtbFBLAQIUABQAAAAIAIdO4kAzLwWe&#10;OwAAADkAAAAQAAAAAAAAAAEAIAAAAAsBAABkcnMvc2hhcGV4bWwueG1sUEsFBgAAAAAGAAYAWwEA&#10;ALUDAAAAAA==&#10;">
                <v:fill on="f" focussize="0,0"/>
                <v:stroke on="f"/>
                <v:imagedata r:id="rId1" o:title=""/>
                <o:lock v:ext="edit" aspectratio="f"/>
              </v:shape>
              <v:shape id="Picture 11" o:spid="_x0000_s1026" o:spt="75" type="#_x0000_t75" style="position:absolute;left:828675;top:0;flip:x;height:431800;width:431800;" filled="f" o:preferrelative="t" stroked="f" coordsize="21600,21600" o:gfxdata="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ZtZy7UAAADbAAAADwAA&#10;AAAAAAABACAAAAAiAAAAZHJzL2Rvd25yZXYueG1sUEsBAhQAFAAAAAgAh07iQDMvBZ47AAAAOQAA&#10;ABAAAAAAAAAAAQAgAAAABAEAAGRycy9zaGFwZXhtbC54bWxQSwUGAAAAAAYABgBbAQAArgMAAAAA&#10;">
                <v:fill on="f" focussize="0,0"/>
                <v:stroke on="f"/>
                <v:imagedata r:id="rId2" o:title=""/>
                <o:lock v:ext="edit" aspectratio="f"/>
              </v:shape>
              <v:shape id="_x0000_s1026" o:spid="_x0000_s1026" o:spt="75" type="#_x0000_t75" style="position:absolute;left:447675;top:19050;height:431800;width:431800;" filled="f" o:preferrelative="t" stroked="f" coordsize="21600,21600" o:gfxdata="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Zgo8vQAA&#10;ANsAAAAPAAAAAAAAAAEAIAAAACIAAABkcnMvZG93bnJldi54bWxQSwECFAAUAAAACACHTuJAMy8F&#10;njsAAAA5AAAAEAAAAAAAAAABACAAAAAMAQAAZHJzL3NoYXBleG1sLnhtbFBLBQYAAAAABgAGAFsB&#10;AAC2AwAAAAA=&#10;">
                <v:fill on="f" focussize="0,0"/>
                <v:stroke on="f"/>
                <v:imagedata r:id="rId3" o:title=""/>
                <o:lock v:ext="edit" aspectratio="f"/>
              </v:shape>
              <v:shape id="_x0000_s1026" o:spid="_x0000_s1026" o:spt="75" type="#_x0000_t75" style="position:absolute;left:0;top:9525;height:395605;width:395605;" filled="f" o:preferrelative="t" stroked="f" coordsize="21600,21600" o:gfxdata="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fQIxrsAAADb&#10;AAAADwAAAAAAAAABACAAAAAiAAAAZHJzL2Rvd25yZXYueG1sUEsBAhQAFAAAAAgAh07iQDMvBZ47&#10;AAAAOQAAABAAAAAAAAAAAQAgAAAACgEAAGRycy9zaGFwZXhtbC54bWxQSwUGAAAAAAYABgBbAQAA&#10;tAMAAAAA&#10;">
                <v:fill on="f" focussize="0,0"/>
                <v:stroke on="f"/>
                <v:imagedata r:id="rId4" o:title=""/>
                <o:lock v:ext="edit" aspectratio="f"/>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15px;height:15px" o:bullet="t">
        <v:imagedata r:id="rId1" o:title=""/>
      </v:shape>
    </w:pict>
  </w:numPicBullet>
  <w:numPicBullet w:numPicBulletId="1">
    <w:pict>
      <v:shape id="1" type="#_x0000_t75" style="width:15px;height:15px" o:bullet="t">
        <v:imagedata r:id="rId2" o:title=""/>
      </v:shape>
    </w:pict>
  </w:numPicBullet>
  <w:numPicBullet w:numPicBulletId="2">
    <w:pict>
      <v:shape id="2" type="#_x0000_t75" style="width:15px;height:15px" o:bullet="t">
        <v:imagedata r:id="rId3" o:title=""/>
      </v:shape>
    </w:pict>
  </w:numPicBullet>
  <w:abstractNum w:abstractNumId="0">
    <w:nsid w:val="A2071422"/>
    <w:multiLevelType w:val="singleLevel"/>
    <w:tmpl w:val="A2071422"/>
    <w:lvl w:ilvl="0" w:tentative="0">
      <w:start w:val="1"/>
      <w:numFmt w:val="upperLetter"/>
      <w:suff w:val="space"/>
      <w:lvlText w:val="%1."/>
      <w:lvlJc w:val="left"/>
      <w:rPr>
        <w:rFonts w:hint="default"/>
        <w:b w:val="0"/>
        <w:bCs w:val="0"/>
      </w:rPr>
    </w:lvl>
  </w:abstractNum>
  <w:abstractNum w:abstractNumId="1">
    <w:nsid w:val="F12A26D8"/>
    <w:multiLevelType w:val="singleLevel"/>
    <w:tmpl w:val="F12A26D8"/>
    <w:lvl w:ilvl="0" w:tentative="0">
      <w:start w:val="1"/>
      <w:numFmt w:val="upperLetter"/>
      <w:suff w:val="space"/>
      <w:lvlText w:val="%1."/>
      <w:lvlJc w:val="left"/>
      <w:pPr>
        <w:ind w:left="600"/>
      </w:pPr>
      <w:rPr>
        <w:rFonts w:hint="default"/>
        <w:b w:val="0"/>
        <w:bCs w:val="0"/>
      </w:rPr>
    </w:lvl>
  </w:abstractNum>
  <w:abstractNum w:abstractNumId="2">
    <w:nsid w:val="033A6BD4"/>
    <w:multiLevelType w:val="multilevel"/>
    <w:tmpl w:val="033A6BD4"/>
    <w:lvl w:ilvl="0" w:tentative="0">
      <w:start w:val="1"/>
      <w:numFmt w:val="lowerLetter"/>
      <w:lvlText w:val="%1."/>
      <w:lvlJc w:val="left"/>
      <w:pPr>
        <w:ind w:left="786" w:hanging="360"/>
      </w:pPr>
      <w:rPr>
        <w:rFonts w:ascii="Futura Bk BT" w:hAnsi="Futura Bk BT" w:cs="Tahoma" w:eastAsiaTheme="minorHAnsi"/>
      </w:r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3">
    <w:nsid w:val="039F2297"/>
    <w:multiLevelType w:val="multilevel"/>
    <w:tmpl w:val="039F2297"/>
    <w:lvl w:ilvl="0" w:tentative="0">
      <w:start w:val="1"/>
      <w:numFmt w:val="lowerLetter"/>
      <w:lvlText w:val="%1."/>
      <w:lvlJc w:val="left"/>
      <w:pPr>
        <w:ind w:left="1440" w:hanging="360"/>
      </w:pPr>
      <w:rPr>
        <w:rFonts w:hint="default"/>
      </w:rPr>
    </w:lvl>
    <w:lvl w:ilvl="1" w:tentative="0">
      <w:start w:val="1"/>
      <w:numFmt w:val="decimal"/>
      <w:lvlText w:val="(%2)"/>
      <w:lvlJc w:val="left"/>
      <w:pPr>
        <w:ind w:left="2160" w:hanging="360"/>
      </w:pPr>
      <w:rPr>
        <w:rFonts w:hint="default"/>
        <w:b w:val="0"/>
      </w:rPr>
    </w:lvl>
    <w:lvl w:ilvl="2" w:tentative="0">
      <w:start w:val="1"/>
      <w:numFmt w:val="decimal"/>
      <w:lvlText w:val="(%3)"/>
      <w:lvlJc w:val="left"/>
      <w:pPr>
        <w:ind w:left="2345" w:hanging="360"/>
      </w:pPr>
      <w:rPr>
        <w:rFonts w:hint="default"/>
      </w:rPr>
    </w:lvl>
    <w:lvl w:ilvl="3" w:tentative="0">
      <w:start w:val="1"/>
      <w:numFmt w:val="decimal"/>
      <w:lvlText w:val="%4."/>
      <w:lvlJc w:val="left"/>
      <w:pPr>
        <w:ind w:left="3600" w:hanging="360"/>
      </w:pPr>
      <w:rPr>
        <w:rFonts w:hint="default"/>
        <w:sz w:val="24"/>
        <w:szCs w:val="24"/>
      </w:rPr>
    </w:lvl>
    <w:lvl w:ilvl="4" w:tentative="0">
      <w:start w:val="1"/>
      <w:numFmt w:val="decimal"/>
      <w:lvlText w:val="%5)"/>
      <w:lvlJc w:val="left"/>
      <w:pPr>
        <w:ind w:left="4320" w:hanging="360"/>
      </w:pPr>
      <w:rPr>
        <w:rFonts w:hint="default"/>
      </w:rPr>
    </w:lvl>
    <w:lvl w:ilvl="5" w:tentative="0">
      <w:start w:val="1"/>
      <w:numFmt w:val="upperLetter"/>
      <w:lvlText w:val="%6."/>
      <w:lvlJc w:val="left"/>
      <w:pPr>
        <w:ind w:left="5220" w:hanging="360"/>
      </w:pPr>
      <w:rPr>
        <w:rFonts w:hint="default"/>
      </w:r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4">
    <w:nsid w:val="04BF48EF"/>
    <w:multiLevelType w:val="multilevel"/>
    <w:tmpl w:val="04BF48EF"/>
    <w:lvl w:ilvl="0" w:tentative="0">
      <w:start w:val="1"/>
      <w:numFmt w:val="decimal"/>
      <w:lvlText w:val="%1."/>
      <w:lvlJc w:val="left"/>
      <w:pPr>
        <w:ind w:left="1356" w:hanging="360"/>
      </w:pPr>
      <w:rPr>
        <w:rFonts w:hint="default"/>
      </w:rPr>
    </w:lvl>
    <w:lvl w:ilvl="1" w:tentative="0">
      <w:start w:val="1"/>
      <w:numFmt w:val="lowerLetter"/>
      <w:lvlText w:val="%2."/>
      <w:lvlJc w:val="left"/>
      <w:pPr>
        <w:ind w:left="2076" w:hanging="360"/>
      </w:pPr>
    </w:lvl>
    <w:lvl w:ilvl="2" w:tentative="0">
      <w:start w:val="1"/>
      <w:numFmt w:val="lowerRoman"/>
      <w:lvlText w:val="%3."/>
      <w:lvlJc w:val="right"/>
      <w:pPr>
        <w:ind w:left="2796" w:hanging="180"/>
      </w:pPr>
    </w:lvl>
    <w:lvl w:ilvl="3" w:tentative="0">
      <w:start w:val="1"/>
      <w:numFmt w:val="decimal"/>
      <w:lvlText w:val="%4."/>
      <w:lvlJc w:val="left"/>
      <w:pPr>
        <w:ind w:left="3516" w:hanging="360"/>
      </w:pPr>
    </w:lvl>
    <w:lvl w:ilvl="4" w:tentative="0">
      <w:start w:val="1"/>
      <w:numFmt w:val="lowerLetter"/>
      <w:lvlText w:val="%5."/>
      <w:lvlJc w:val="left"/>
      <w:pPr>
        <w:ind w:left="4236" w:hanging="360"/>
      </w:pPr>
    </w:lvl>
    <w:lvl w:ilvl="5" w:tentative="0">
      <w:start w:val="1"/>
      <w:numFmt w:val="lowerRoman"/>
      <w:lvlText w:val="%6."/>
      <w:lvlJc w:val="right"/>
      <w:pPr>
        <w:ind w:left="4956" w:hanging="180"/>
      </w:pPr>
    </w:lvl>
    <w:lvl w:ilvl="6" w:tentative="0">
      <w:start w:val="1"/>
      <w:numFmt w:val="decimal"/>
      <w:lvlText w:val="%7."/>
      <w:lvlJc w:val="left"/>
      <w:pPr>
        <w:ind w:left="5676" w:hanging="360"/>
      </w:pPr>
    </w:lvl>
    <w:lvl w:ilvl="7" w:tentative="0">
      <w:start w:val="1"/>
      <w:numFmt w:val="lowerLetter"/>
      <w:lvlText w:val="%8."/>
      <w:lvlJc w:val="left"/>
      <w:pPr>
        <w:ind w:left="6396" w:hanging="360"/>
      </w:pPr>
    </w:lvl>
    <w:lvl w:ilvl="8" w:tentative="0">
      <w:start w:val="1"/>
      <w:numFmt w:val="lowerRoman"/>
      <w:lvlText w:val="%9."/>
      <w:lvlJc w:val="right"/>
      <w:pPr>
        <w:ind w:left="7116" w:hanging="180"/>
      </w:pPr>
    </w:lvl>
  </w:abstractNum>
  <w:abstractNum w:abstractNumId="5">
    <w:nsid w:val="05721EA2"/>
    <w:multiLevelType w:val="multilevel"/>
    <w:tmpl w:val="05721EA2"/>
    <w:lvl w:ilvl="0" w:tentative="0">
      <w:start w:val="1"/>
      <w:numFmt w:val="lowerLetter"/>
      <w:lvlText w:val="%1."/>
      <w:lvlJc w:val="left"/>
      <w:pPr>
        <w:ind w:left="720" w:hanging="360"/>
      </w:pPr>
    </w:lvl>
    <w:lvl w:ilvl="1" w:tentative="0">
      <w:start w:val="1"/>
      <w:numFmt w:val="decimal"/>
      <w:lvlText w:val="%2."/>
      <w:lvlJc w:val="left"/>
      <w:pPr>
        <w:ind w:left="1440" w:hanging="360"/>
      </w:pPr>
      <w:rPr>
        <w:rFonts w:ascii="Futura Bk BT" w:hAnsi="Futura Bk BT" w:cs="Tahoma" w:eastAsiaTheme="minorHAnsi"/>
      </w:rPr>
    </w:lvl>
    <w:lvl w:ilvl="2" w:tentative="0">
      <w:start w:val="1"/>
      <w:numFmt w:val="decimal"/>
      <w:lvlText w:val="%3)"/>
      <w:lvlJc w:val="left"/>
      <w:pPr>
        <w:ind w:left="2340" w:hanging="360"/>
      </w:pPr>
      <w:rPr>
        <w:rFonts w:hint="default"/>
      </w:rPr>
    </w:lvl>
    <w:lvl w:ilvl="3" w:tentative="0">
      <w:start w:val="1"/>
      <w:numFmt w:val="upperLetter"/>
      <w:lvlText w:val="%4."/>
      <w:lvlJc w:val="left"/>
      <w:pPr>
        <w:ind w:left="2880" w:hanging="360"/>
      </w:pPr>
      <w:rPr>
        <w:rFonts w:hint="default"/>
      </w:r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089E353D"/>
    <w:multiLevelType w:val="multilevel"/>
    <w:tmpl w:val="089E353D"/>
    <w:lvl w:ilvl="0" w:tentative="0">
      <w:start w:val="1"/>
      <w:numFmt w:val="decimal"/>
      <w:lvlText w:val="%1."/>
      <w:lvlJc w:val="left"/>
      <w:pPr>
        <w:ind w:left="1778" w:hanging="360"/>
      </w:pPr>
      <w:rPr>
        <w:rFonts w:hint="default"/>
      </w:rPr>
    </w:lvl>
    <w:lvl w:ilvl="1" w:tentative="0">
      <w:start w:val="1"/>
      <w:numFmt w:val="lowerLetter"/>
      <w:lvlText w:val="%2."/>
      <w:lvlJc w:val="left"/>
      <w:pPr>
        <w:ind w:left="2498" w:hanging="360"/>
      </w:pPr>
    </w:lvl>
    <w:lvl w:ilvl="2" w:tentative="0">
      <w:start w:val="1"/>
      <w:numFmt w:val="lowerRoman"/>
      <w:lvlText w:val="%3."/>
      <w:lvlJc w:val="right"/>
      <w:pPr>
        <w:ind w:left="3218" w:hanging="180"/>
      </w:pPr>
    </w:lvl>
    <w:lvl w:ilvl="3" w:tentative="0">
      <w:start w:val="1"/>
      <w:numFmt w:val="decimal"/>
      <w:lvlText w:val="%4."/>
      <w:lvlJc w:val="left"/>
      <w:pPr>
        <w:ind w:left="3938" w:hanging="360"/>
      </w:pPr>
    </w:lvl>
    <w:lvl w:ilvl="4" w:tentative="0">
      <w:start w:val="1"/>
      <w:numFmt w:val="lowerLetter"/>
      <w:lvlText w:val="%5."/>
      <w:lvlJc w:val="left"/>
      <w:pPr>
        <w:ind w:left="4658" w:hanging="360"/>
      </w:pPr>
    </w:lvl>
    <w:lvl w:ilvl="5" w:tentative="0">
      <w:start w:val="1"/>
      <w:numFmt w:val="lowerRoman"/>
      <w:lvlText w:val="%6."/>
      <w:lvlJc w:val="right"/>
      <w:pPr>
        <w:ind w:left="5378" w:hanging="180"/>
      </w:pPr>
    </w:lvl>
    <w:lvl w:ilvl="6" w:tentative="0">
      <w:start w:val="1"/>
      <w:numFmt w:val="decimal"/>
      <w:lvlText w:val="%7."/>
      <w:lvlJc w:val="left"/>
      <w:pPr>
        <w:ind w:left="6098" w:hanging="360"/>
      </w:pPr>
    </w:lvl>
    <w:lvl w:ilvl="7" w:tentative="0">
      <w:start w:val="1"/>
      <w:numFmt w:val="lowerLetter"/>
      <w:lvlText w:val="%8."/>
      <w:lvlJc w:val="left"/>
      <w:pPr>
        <w:ind w:left="6818" w:hanging="360"/>
      </w:pPr>
    </w:lvl>
    <w:lvl w:ilvl="8" w:tentative="0">
      <w:start w:val="1"/>
      <w:numFmt w:val="lowerRoman"/>
      <w:lvlText w:val="%9."/>
      <w:lvlJc w:val="right"/>
      <w:pPr>
        <w:ind w:left="7538" w:hanging="180"/>
      </w:pPr>
    </w:lvl>
  </w:abstractNum>
  <w:abstractNum w:abstractNumId="7">
    <w:nsid w:val="0A8F51B9"/>
    <w:multiLevelType w:val="multilevel"/>
    <w:tmpl w:val="0A8F51B9"/>
    <w:lvl w:ilvl="0" w:tentative="0">
      <w:start w:val="1"/>
      <w:numFmt w:val="decimal"/>
      <w:lvlText w:val="%1."/>
      <w:lvlJc w:val="left"/>
      <w:pPr>
        <w:ind w:left="1494" w:hanging="360"/>
      </w:pPr>
      <w:rPr>
        <w:rFonts w:ascii="Humanst521 Lt BT" w:hAnsi="Humanst521 Lt BT" w:eastAsia="Times New Roman" w:cs="Tahoma"/>
        <w:i w:val="0"/>
        <w:sz w:val="24"/>
      </w:rPr>
    </w:lvl>
    <w:lvl w:ilvl="1" w:tentative="0">
      <w:start w:val="1"/>
      <w:numFmt w:val="lowerLetter"/>
      <w:lvlText w:val="%2."/>
      <w:lvlJc w:val="left"/>
      <w:pPr>
        <w:ind w:left="2214" w:hanging="360"/>
      </w:pPr>
    </w:lvl>
    <w:lvl w:ilvl="2" w:tentative="0">
      <w:start w:val="1"/>
      <w:numFmt w:val="lowerRoman"/>
      <w:lvlText w:val="%3."/>
      <w:lvlJc w:val="right"/>
      <w:pPr>
        <w:ind w:left="2934" w:hanging="180"/>
      </w:pPr>
    </w:lvl>
    <w:lvl w:ilvl="3" w:tentative="0">
      <w:start w:val="1"/>
      <w:numFmt w:val="decimal"/>
      <w:lvlText w:val="%4."/>
      <w:lvlJc w:val="left"/>
      <w:pPr>
        <w:ind w:left="3654" w:hanging="360"/>
      </w:pPr>
    </w:lvl>
    <w:lvl w:ilvl="4" w:tentative="0">
      <w:start w:val="1"/>
      <w:numFmt w:val="lowerLetter"/>
      <w:lvlText w:val="%5."/>
      <w:lvlJc w:val="left"/>
      <w:pPr>
        <w:ind w:left="4374" w:hanging="360"/>
      </w:pPr>
    </w:lvl>
    <w:lvl w:ilvl="5" w:tentative="0">
      <w:start w:val="1"/>
      <w:numFmt w:val="lowerRoman"/>
      <w:lvlText w:val="%6."/>
      <w:lvlJc w:val="right"/>
      <w:pPr>
        <w:ind w:left="5094" w:hanging="180"/>
      </w:pPr>
    </w:lvl>
    <w:lvl w:ilvl="6" w:tentative="0">
      <w:start w:val="1"/>
      <w:numFmt w:val="decimal"/>
      <w:lvlText w:val="%7."/>
      <w:lvlJc w:val="left"/>
      <w:pPr>
        <w:ind w:left="5814" w:hanging="360"/>
      </w:pPr>
    </w:lvl>
    <w:lvl w:ilvl="7" w:tentative="0">
      <w:start w:val="1"/>
      <w:numFmt w:val="lowerLetter"/>
      <w:lvlText w:val="%8."/>
      <w:lvlJc w:val="left"/>
      <w:pPr>
        <w:ind w:left="6534" w:hanging="360"/>
      </w:pPr>
    </w:lvl>
    <w:lvl w:ilvl="8" w:tentative="0">
      <w:start w:val="1"/>
      <w:numFmt w:val="lowerRoman"/>
      <w:lvlText w:val="%9."/>
      <w:lvlJc w:val="right"/>
      <w:pPr>
        <w:ind w:left="7254" w:hanging="180"/>
      </w:pPr>
    </w:lvl>
  </w:abstractNum>
  <w:abstractNum w:abstractNumId="8">
    <w:nsid w:val="0F14371D"/>
    <w:multiLevelType w:val="multilevel"/>
    <w:tmpl w:val="0F14371D"/>
    <w:lvl w:ilvl="0" w:tentative="0">
      <w:start w:val="1"/>
      <w:numFmt w:val="decimal"/>
      <w:lvlText w:val="%1."/>
      <w:lvlJc w:val="left"/>
      <w:pPr>
        <w:ind w:left="720" w:hanging="360"/>
      </w:pPr>
      <w:rPr>
        <w:rFonts w:ascii="Futura Bk BT" w:hAnsi="Futura Bk BT" w:cs="Tahoma" w:eastAsiaTheme="minorHAnsi"/>
        <w:b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14E24B2B"/>
    <w:multiLevelType w:val="multilevel"/>
    <w:tmpl w:val="14E24B2B"/>
    <w:lvl w:ilvl="0" w:tentative="0">
      <w:start w:val="1"/>
      <w:numFmt w:val="bullet"/>
      <w:lvlText w:val=""/>
      <w:lvlJc w:val="left"/>
      <w:pPr>
        <w:ind w:left="2138" w:hanging="360"/>
      </w:pPr>
      <w:rPr>
        <w:rFonts w:hint="default" w:ascii="Symbol" w:hAnsi="Symbol"/>
      </w:rPr>
    </w:lvl>
    <w:lvl w:ilvl="1" w:tentative="0">
      <w:start w:val="1"/>
      <w:numFmt w:val="bullet"/>
      <w:lvlText w:val="o"/>
      <w:lvlJc w:val="left"/>
      <w:pPr>
        <w:ind w:left="2858" w:hanging="360"/>
      </w:pPr>
      <w:rPr>
        <w:rFonts w:hint="default" w:ascii="Courier New" w:hAnsi="Courier New" w:cs="Courier New"/>
      </w:rPr>
    </w:lvl>
    <w:lvl w:ilvl="2" w:tentative="0">
      <w:start w:val="1"/>
      <w:numFmt w:val="bullet"/>
      <w:lvlText w:val=""/>
      <w:lvlJc w:val="left"/>
      <w:pPr>
        <w:ind w:left="3578" w:hanging="360"/>
      </w:pPr>
      <w:rPr>
        <w:rFonts w:hint="default" w:ascii="Wingdings" w:hAnsi="Wingdings"/>
      </w:rPr>
    </w:lvl>
    <w:lvl w:ilvl="3" w:tentative="0">
      <w:start w:val="1"/>
      <w:numFmt w:val="bullet"/>
      <w:lvlText w:val=""/>
      <w:lvlJc w:val="left"/>
      <w:pPr>
        <w:ind w:left="4298" w:hanging="360"/>
      </w:pPr>
      <w:rPr>
        <w:rFonts w:hint="default" w:ascii="Symbol" w:hAnsi="Symbol"/>
      </w:rPr>
    </w:lvl>
    <w:lvl w:ilvl="4" w:tentative="0">
      <w:start w:val="1"/>
      <w:numFmt w:val="bullet"/>
      <w:lvlText w:val="o"/>
      <w:lvlJc w:val="left"/>
      <w:pPr>
        <w:ind w:left="5018" w:hanging="360"/>
      </w:pPr>
      <w:rPr>
        <w:rFonts w:hint="default" w:ascii="Courier New" w:hAnsi="Courier New" w:cs="Courier New"/>
      </w:rPr>
    </w:lvl>
    <w:lvl w:ilvl="5" w:tentative="0">
      <w:start w:val="1"/>
      <w:numFmt w:val="bullet"/>
      <w:lvlText w:val=""/>
      <w:lvlJc w:val="left"/>
      <w:pPr>
        <w:ind w:left="5738" w:hanging="360"/>
      </w:pPr>
      <w:rPr>
        <w:rFonts w:hint="default" w:ascii="Wingdings" w:hAnsi="Wingdings"/>
      </w:rPr>
    </w:lvl>
    <w:lvl w:ilvl="6" w:tentative="0">
      <w:start w:val="1"/>
      <w:numFmt w:val="bullet"/>
      <w:lvlText w:val=""/>
      <w:lvlJc w:val="left"/>
      <w:pPr>
        <w:ind w:left="6458" w:hanging="360"/>
      </w:pPr>
      <w:rPr>
        <w:rFonts w:hint="default" w:ascii="Symbol" w:hAnsi="Symbol"/>
      </w:rPr>
    </w:lvl>
    <w:lvl w:ilvl="7" w:tentative="0">
      <w:start w:val="1"/>
      <w:numFmt w:val="bullet"/>
      <w:lvlText w:val="o"/>
      <w:lvlJc w:val="left"/>
      <w:pPr>
        <w:ind w:left="7178" w:hanging="360"/>
      </w:pPr>
      <w:rPr>
        <w:rFonts w:hint="default" w:ascii="Courier New" w:hAnsi="Courier New" w:cs="Courier New"/>
      </w:rPr>
    </w:lvl>
    <w:lvl w:ilvl="8" w:tentative="0">
      <w:start w:val="1"/>
      <w:numFmt w:val="bullet"/>
      <w:lvlText w:val=""/>
      <w:lvlJc w:val="left"/>
      <w:pPr>
        <w:ind w:left="7898" w:hanging="360"/>
      </w:pPr>
      <w:rPr>
        <w:rFonts w:hint="default" w:ascii="Wingdings" w:hAnsi="Wingdings"/>
      </w:rPr>
    </w:lvl>
  </w:abstractNum>
  <w:abstractNum w:abstractNumId="10">
    <w:nsid w:val="1C715679"/>
    <w:multiLevelType w:val="multilevel"/>
    <w:tmpl w:val="1C715679"/>
    <w:lvl w:ilvl="0" w:tentative="0">
      <w:start w:val="1"/>
      <w:numFmt w:val="decimal"/>
      <w:lvlText w:val="%1."/>
      <w:lvlJc w:val="left"/>
      <w:pPr>
        <w:ind w:left="720" w:hanging="360"/>
      </w:pPr>
      <w:rPr>
        <w:rFonts w:ascii="Humanst521 Lt BT" w:hAnsi="Humanst521 Lt BT" w:cs="Tahoma" w:eastAsiaTheme="minorHAnsi"/>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1DD7073E"/>
    <w:multiLevelType w:val="multilevel"/>
    <w:tmpl w:val="1DD7073E"/>
    <w:lvl w:ilvl="0" w:tentative="0">
      <w:start w:val="1"/>
      <w:numFmt w:val="decimal"/>
      <w:lvlText w:val="%1."/>
      <w:lvlJc w:val="left"/>
      <w:pPr>
        <w:ind w:left="1080" w:hanging="360"/>
      </w:pPr>
      <w:rPr>
        <w:rFonts w:ascii="Humanst521 Lt BT" w:hAnsi="Humanst521 Lt BT" w:cs="Tahoma" w:eastAsiaTheme="minorHAnsi"/>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2">
    <w:nsid w:val="1EDE5241"/>
    <w:multiLevelType w:val="multilevel"/>
    <w:tmpl w:val="1EDE5241"/>
    <w:lvl w:ilvl="0" w:tentative="0">
      <w:start w:val="1"/>
      <w:numFmt w:val="decimal"/>
      <w:lvlText w:val="%1."/>
      <w:lvlJc w:val="left"/>
      <w:pPr>
        <w:ind w:left="1920" w:hanging="360"/>
      </w:pPr>
      <w:rPr>
        <w:rFonts w:hint="default"/>
      </w:rPr>
    </w:lvl>
    <w:lvl w:ilvl="1" w:tentative="0">
      <w:start w:val="1"/>
      <w:numFmt w:val="lowerLetter"/>
      <w:lvlText w:val="%2."/>
      <w:lvlJc w:val="left"/>
      <w:pPr>
        <w:ind w:left="2640" w:hanging="360"/>
      </w:pPr>
    </w:lvl>
    <w:lvl w:ilvl="2" w:tentative="0">
      <w:start w:val="1"/>
      <w:numFmt w:val="lowerRoman"/>
      <w:lvlText w:val="%3."/>
      <w:lvlJc w:val="right"/>
      <w:pPr>
        <w:ind w:left="3360" w:hanging="180"/>
      </w:pPr>
    </w:lvl>
    <w:lvl w:ilvl="3" w:tentative="0">
      <w:start w:val="1"/>
      <w:numFmt w:val="decimal"/>
      <w:lvlText w:val="%4."/>
      <w:lvlJc w:val="left"/>
      <w:pPr>
        <w:ind w:left="4080" w:hanging="360"/>
      </w:pPr>
    </w:lvl>
    <w:lvl w:ilvl="4" w:tentative="0">
      <w:start w:val="1"/>
      <w:numFmt w:val="lowerLetter"/>
      <w:lvlText w:val="%5."/>
      <w:lvlJc w:val="left"/>
      <w:pPr>
        <w:ind w:left="4800" w:hanging="360"/>
      </w:pPr>
    </w:lvl>
    <w:lvl w:ilvl="5" w:tentative="0">
      <w:start w:val="1"/>
      <w:numFmt w:val="lowerRoman"/>
      <w:lvlText w:val="%6."/>
      <w:lvlJc w:val="right"/>
      <w:pPr>
        <w:ind w:left="5520" w:hanging="180"/>
      </w:pPr>
    </w:lvl>
    <w:lvl w:ilvl="6" w:tentative="0">
      <w:start w:val="1"/>
      <w:numFmt w:val="decimal"/>
      <w:lvlText w:val="%7."/>
      <w:lvlJc w:val="left"/>
      <w:pPr>
        <w:ind w:left="6240" w:hanging="360"/>
      </w:pPr>
    </w:lvl>
    <w:lvl w:ilvl="7" w:tentative="0">
      <w:start w:val="1"/>
      <w:numFmt w:val="lowerLetter"/>
      <w:lvlText w:val="%8."/>
      <w:lvlJc w:val="left"/>
      <w:pPr>
        <w:ind w:left="6960" w:hanging="360"/>
      </w:pPr>
    </w:lvl>
    <w:lvl w:ilvl="8" w:tentative="0">
      <w:start w:val="1"/>
      <w:numFmt w:val="lowerRoman"/>
      <w:lvlText w:val="%9."/>
      <w:lvlJc w:val="right"/>
      <w:pPr>
        <w:ind w:left="7680" w:hanging="180"/>
      </w:pPr>
    </w:lvl>
  </w:abstractNum>
  <w:abstractNum w:abstractNumId="13">
    <w:nsid w:val="22A70EEA"/>
    <w:multiLevelType w:val="singleLevel"/>
    <w:tmpl w:val="22A70EEA"/>
    <w:lvl w:ilvl="0" w:tentative="0">
      <w:start w:val="1"/>
      <w:numFmt w:val="decimal"/>
      <w:suff w:val="space"/>
      <w:lvlText w:val="%1."/>
      <w:lvlJc w:val="left"/>
    </w:lvl>
  </w:abstractNum>
  <w:abstractNum w:abstractNumId="14">
    <w:nsid w:val="264E413F"/>
    <w:multiLevelType w:val="multilevel"/>
    <w:tmpl w:val="264E413F"/>
    <w:lvl w:ilvl="0" w:tentative="0">
      <w:start w:val="1"/>
      <w:numFmt w:val="bullet"/>
      <w:lvlText w:val=""/>
      <w:lvlPicBulletId w:val="1"/>
      <w:lvlJc w:val="left"/>
      <w:pPr>
        <w:ind w:left="1146" w:hanging="360"/>
      </w:pPr>
      <w:rPr>
        <w:rFonts w:hint="default" w:ascii="Symbol" w:hAnsi="Symbol"/>
      </w:rPr>
    </w:lvl>
    <w:lvl w:ilvl="1" w:tentative="0">
      <w:start w:val="1"/>
      <w:numFmt w:val="bullet"/>
      <w:lvlText w:val="o"/>
      <w:lvlJc w:val="left"/>
      <w:pPr>
        <w:ind w:left="1866" w:hanging="360"/>
      </w:pPr>
      <w:rPr>
        <w:rFonts w:hint="default" w:ascii="Courier New" w:hAnsi="Courier New" w:cs="Courier New"/>
      </w:rPr>
    </w:lvl>
    <w:lvl w:ilvl="2" w:tentative="0">
      <w:start w:val="1"/>
      <w:numFmt w:val="bullet"/>
      <w:lvlText w:val=""/>
      <w:lvlJc w:val="left"/>
      <w:pPr>
        <w:ind w:left="2586" w:hanging="360"/>
      </w:pPr>
      <w:rPr>
        <w:rFonts w:hint="default" w:ascii="Wingdings" w:hAnsi="Wingdings"/>
      </w:rPr>
    </w:lvl>
    <w:lvl w:ilvl="3" w:tentative="0">
      <w:start w:val="1"/>
      <w:numFmt w:val="bullet"/>
      <w:lvlText w:val=""/>
      <w:lvlJc w:val="left"/>
      <w:pPr>
        <w:ind w:left="3306" w:hanging="360"/>
      </w:pPr>
      <w:rPr>
        <w:rFonts w:hint="default" w:ascii="Symbol" w:hAnsi="Symbol"/>
      </w:rPr>
    </w:lvl>
    <w:lvl w:ilvl="4" w:tentative="0">
      <w:start w:val="1"/>
      <w:numFmt w:val="bullet"/>
      <w:lvlText w:val="o"/>
      <w:lvlJc w:val="left"/>
      <w:pPr>
        <w:ind w:left="4026" w:hanging="360"/>
      </w:pPr>
      <w:rPr>
        <w:rFonts w:hint="default" w:ascii="Courier New" w:hAnsi="Courier New" w:cs="Courier New"/>
      </w:rPr>
    </w:lvl>
    <w:lvl w:ilvl="5" w:tentative="0">
      <w:start w:val="1"/>
      <w:numFmt w:val="bullet"/>
      <w:lvlText w:val=""/>
      <w:lvlJc w:val="left"/>
      <w:pPr>
        <w:ind w:left="4746" w:hanging="360"/>
      </w:pPr>
      <w:rPr>
        <w:rFonts w:hint="default" w:ascii="Wingdings" w:hAnsi="Wingdings"/>
      </w:rPr>
    </w:lvl>
    <w:lvl w:ilvl="6" w:tentative="0">
      <w:start w:val="1"/>
      <w:numFmt w:val="bullet"/>
      <w:lvlText w:val=""/>
      <w:lvlJc w:val="left"/>
      <w:pPr>
        <w:ind w:left="5466" w:hanging="360"/>
      </w:pPr>
      <w:rPr>
        <w:rFonts w:hint="default" w:ascii="Symbol" w:hAnsi="Symbol"/>
      </w:rPr>
    </w:lvl>
    <w:lvl w:ilvl="7" w:tentative="0">
      <w:start w:val="1"/>
      <w:numFmt w:val="bullet"/>
      <w:lvlText w:val="o"/>
      <w:lvlJc w:val="left"/>
      <w:pPr>
        <w:ind w:left="6186" w:hanging="360"/>
      </w:pPr>
      <w:rPr>
        <w:rFonts w:hint="default" w:ascii="Courier New" w:hAnsi="Courier New" w:cs="Courier New"/>
      </w:rPr>
    </w:lvl>
    <w:lvl w:ilvl="8" w:tentative="0">
      <w:start w:val="1"/>
      <w:numFmt w:val="bullet"/>
      <w:lvlText w:val=""/>
      <w:lvlJc w:val="left"/>
      <w:pPr>
        <w:ind w:left="6906" w:hanging="360"/>
      </w:pPr>
      <w:rPr>
        <w:rFonts w:hint="default" w:ascii="Wingdings" w:hAnsi="Wingdings"/>
      </w:rPr>
    </w:lvl>
  </w:abstractNum>
  <w:abstractNum w:abstractNumId="15">
    <w:nsid w:val="2B8F547D"/>
    <w:multiLevelType w:val="multilevel"/>
    <w:tmpl w:val="2B8F547D"/>
    <w:lvl w:ilvl="0" w:tentative="0">
      <w:start w:val="1"/>
      <w:numFmt w:val="decimal"/>
      <w:lvlText w:val="%1."/>
      <w:lvlJc w:val="left"/>
      <w:pPr>
        <w:ind w:left="1778" w:hanging="360"/>
      </w:pPr>
      <w:rPr>
        <w:rFonts w:hint="default"/>
        <w:b/>
      </w:rPr>
    </w:lvl>
    <w:lvl w:ilvl="1" w:tentative="0">
      <w:start w:val="1"/>
      <w:numFmt w:val="lowerLetter"/>
      <w:lvlText w:val="%2."/>
      <w:lvlJc w:val="left"/>
      <w:pPr>
        <w:ind w:left="2498" w:hanging="360"/>
      </w:pPr>
    </w:lvl>
    <w:lvl w:ilvl="2" w:tentative="0">
      <w:start w:val="1"/>
      <w:numFmt w:val="lowerRoman"/>
      <w:lvlText w:val="%3."/>
      <w:lvlJc w:val="right"/>
      <w:pPr>
        <w:ind w:left="3218" w:hanging="180"/>
      </w:pPr>
    </w:lvl>
    <w:lvl w:ilvl="3" w:tentative="0">
      <w:start w:val="1"/>
      <w:numFmt w:val="decimal"/>
      <w:lvlText w:val="%4."/>
      <w:lvlJc w:val="left"/>
      <w:pPr>
        <w:ind w:left="3938" w:hanging="360"/>
      </w:pPr>
    </w:lvl>
    <w:lvl w:ilvl="4" w:tentative="0">
      <w:start w:val="1"/>
      <w:numFmt w:val="lowerLetter"/>
      <w:lvlText w:val="%5."/>
      <w:lvlJc w:val="left"/>
      <w:pPr>
        <w:ind w:left="4658" w:hanging="360"/>
      </w:pPr>
    </w:lvl>
    <w:lvl w:ilvl="5" w:tentative="0">
      <w:start w:val="1"/>
      <w:numFmt w:val="lowerRoman"/>
      <w:lvlText w:val="%6."/>
      <w:lvlJc w:val="right"/>
      <w:pPr>
        <w:ind w:left="5378" w:hanging="180"/>
      </w:pPr>
    </w:lvl>
    <w:lvl w:ilvl="6" w:tentative="0">
      <w:start w:val="1"/>
      <w:numFmt w:val="decimal"/>
      <w:lvlText w:val="%7."/>
      <w:lvlJc w:val="left"/>
      <w:pPr>
        <w:ind w:left="6098" w:hanging="360"/>
      </w:pPr>
    </w:lvl>
    <w:lvl w:ilvl="7" w:tentative="0">
      <w:start w:val="1"/>
      <w:numFmt w:val="lowerLetter"/>
      <w:lvlText w:val="%8."/>
      <w:lvlJc w:val="left"/>
      <w:pPr>
        <w:ind w:left="6818" w:hanging="360"/>
      </w:pPr>
    </w:lvl>
    <w:lvl w:ilvl="8" w:tentative="0">
      <w:start w:val="1"/>
      <w:numFmt w:val="lowerRoman"/>
      <w:lvlText w:val="%9."/>
      <w:lvlJc w:val="right"/>
      <w:pPr>
        <w:ind w:left="7538" w:hanging="180"/>
      </w:pPr>
    </w:lvl>
  </w:abstractNum>
  <w:abstractNum w:abstractNumId="16">
    <w:nsid w:val="31FF4B04"/>
    <w:multiLevelType w:val="multilevel"/>
    <w:tmpl w:val="31FF4B04"/>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33592A21"/>
    <w:multiLevelType w:val="multilevel"/>
    <w:tmpl w:val="33592A21"/>
    <w:lvl w:ilvl="0" w:tentative="0">
      <w:start w:val="1"/>
      <w:numFmt w:val="bullet"/>
      <w:lvlText w:val=""/>
      <w:lvlJc w:val="left"/>
      <w:pPr>
        <w:ind w:left="3600" w:hanging="360"/>
      </w:pPr>
      <w:rPr>
        <w:rFonts w:hint="default" w:ascii="Wingdings" w:hAnsi="Wingdings"/>
      </w:rPr>
    </w:lvl>
    <w:lvl w:ilvl="1" w:tentative="0">
      <w:start w:val="1"/>
      <w:numFmt w:val="bullet"/>
      <w:lvlText w:val="o"/>
      <w:lvlJc w:val="left"/>
      <w:pPr>
        <w:ind w:left="4320" w:hanging="360"/>
      </w:pPr>
      <w:rPr>
        <w:rFonts w:hint="default" w:ascii="Courier New" w:hAnsi="Courier New" w:cs="Courier New"/>
      </w:rPr>
    </w:lvl>
    <w:lvl w:ilvl="2" w:tentative="0">
      <w:start w:val="1"/>
      <w:numFmt w:val="bullet"/>
      <w:lvlText w:val=""/>
      <w:lvlJc w:val="left"/>
      <w:pPr>
        <w:ind w:left="5040" w:hanging="360"/>
      </w:pPr>
      <w:rPr>
        <w:rFonts w:hint="default" w:ascii="Wingdings" w:hAnsi="Wingdings"/>
      </w:rPr>
    </w:lvl>
    <w:lvl w:ilvl="3" w:tentative="0">
      <w:start w:val="1"/>
      <w:numFmt w:val="bullet"/>
      <w:lvlText w:val=""/>
      <w:lvlJc w:val="left"/>
      <w:pPr>
        <w:ind w:left="5760" w:hanging="360"/>
      </w:pPr>
      <w:rPr>
        <w:rFonts w:hint="default" w:ascii="Symbol" w:hAnsi="Symbol"/>
      </w:rPr>
    </w:lvl>
    <w:lvl w:ilvl="4" w:tentative="0">
      <w:start w:val="1"/>
      <w:numFmt w:val="bullet"/>
      <w:lvlText w:val="o"/>
      <w:lvlJc w:val="left"/>
      <w:pPr>
        <w:ind w:left="6480" w:hanging="360"/>
      </w:pPr>
      <w:rPr>
        <w:rFonts w:hint="default" w:ascii="Courier New" w:hAnsi="Courier New" w:cs="Courier New"/>
      </w:rPr>
    </w:lvl>
    <w:lvl w:ilvl="5" w:tentative="0">
      <w:start w:val="1"/>
      <w:numFmt w:val="bullet"/>
      <w:lvlText w:val=""/>
      <w:lvlJc w:val="left"/>
      <w:pPr>
        <w:ind w:left="7200" w:hanging="360"/>
      </w:pPr>
      <w:rPr>
        <w:rFonts w:hint="default" w:ascii="Wingdings" w:hAnsi="Wingdings"/>
      </w:rPr>
    </w:lvl>
    <w:lvl w:ilvl="6" w:tentative="0">
      <w:start w:val="1"/>
      <w:numFmt w:val="bullet"/>
      <w:lvlText w:val=""/>
      <w:lvlJc w:val="left"/>
      <w:pPr>
        <w:ind w:left="7920" w:hanging="360"/>
      </w:pPr>
      <w:rPr>
        <w:rFonts w:hint="default" w:ascii="Symbol" w:hAnsi="Symbol"/>
      </w:rPr>
    </w:lvl>
    <w:lvl w:ilvl="7" w:tentative="0">
      <w:start w:val="1"/>
      <w:numFmt w:val="bullet"/>
      <w:lvlText w:val="o"/>
      <w:lvlJc w:val="left"/>
      <w:pPr>
        <w:ind w:left="8640" w:hanging="360"/>
      </w:pPr>
      <w:rPr>
        <w:rFonts w:hint="default" w:ascii="Courier New" w:hAnsi="Courier New" w:cs="Courier New"/>
      </w:rPr>
    </w:lvl>
    <w:lvl w:ilvl="8" w:tentative="0">
      <w:start w:val="1"/>
      <w:numFmt w:val="bullet"/>
      <w:lvlText w:val=""/>
      <w:lvlJc w:val="left"/>
      <w:pPr>
        <w:ind w:left="9360" w:hanging="360"/>
      </w:pPr>
      <w:rPr>
        <w:rFonts w:hint="default" w:ascii="Wingdings" w:hAnsi="Wingdings"/>
      </w:rPr>
    </w:lvl>
  </w:abstractNum>
  <w:abstractNum w:abstractNumId="18">
    <w:nsid w:val="40F12B2B"/>
    <w:multiLevelType w:val="multilevel"/>
    <w:tmpl w:val="40F12B2B"/>
    <w:lvl w:ilvl="0" w:tentative="0">
      <w:start w:val="1"/>
      <w:numFmt w:val="decimal"/>
      <w:lvlText w:val="%1."/>
      <w:lvlJc w:val="left"/>
      <w:pPr>
        <w:ind w:left="1146" w:hanging="360"/>
      </w:pPr>
      <w:rPr>
        <w:rFonts w:hint="default" w:cs="Tahoma"/>
        <w:b w:val="0"/>
        <w:color w:val="000000" w:themeColor="text1"/>
        <w14:textFill>
          <w14:solidFill>
            <w14:schemeClr w14:val="tx1"/>
          </w14:solidFill>
        </w14:textFill>
      </w:rPr>
    </w:lvl>
    <w:lvl w:ilvl="1" w:tentative="0">
      <w:start w:val="1"/>
      <w:numFmt w:val="lowerLetter"/>
      <w:lvlText w:val="%2."/>
      <w:lvlJc w:val="left"/>
      <w:pPr>
        <w:ind w:left="1866" w:hanging="360"/>
      </w:pPr>
    </w:lvl>
    <w:lvl w:ilvl="2" w:tentative="0">
      <w:start w:val="1"/>
      <w:numFmt w:val="lowerRoman"/>
      <w:lvlText w:val="%3."/>
      <w:lvlJc w:val="right"/>
      <w:pPr>
        <w:ind w:left="2586" w:hanging="180"/>
      </w:pPr>
    </w:lvl>
    <w:lvl w:ilvl="3" w:tentative="0">
      <w:start w:val="1"/>
      <w:numFmt w:val="decimal"/>
      <w:lvlText w:val="%4."/>
      <w:lvlJc w:val="left"/>
      <w:pPr>
        <w:ind w:left="3306" w:hanging="360"/>
      </w:pPr>
    </w:lvl>
    <w:lvl w:ilvl="4" w:tentative="0">
      <w:start w:val="1"/>
      <w:numFmt w:val="lowerLetter"/>
      <w:lvlText w:val="%5."/>
      <w:lvlJc w:val="left"/>
      <w:pPr>
        <w:ind w:left="4026" w:hanging="360"/>
      </w:pPr>
    </w:lvl>
    <w:lvl w:ilvl="5" w:tentative="0">
      <w:start w:val="1"/>
      <w:numFmt w:val="lowerRoman"/>
      <w:lvlText w:val="%6."/>
      <w:lvlJc w:val="right"/>
      <w:pPr>
        <w:ind w:left="4746" w:hanging="180"/>
      </w:pPr>
    </w:lvl>
    <w:lvl w:ilvl="6" w:tentative="0">
      <w:start w:val="1"/>
      <w:numFmt w:val="decimal"/>
      <w:lvlText w:val="%7."/>
      <w:lvlJc w:val="left"/>
      <w:pPr>
        <w:ind w:left="5466" w:hanging="360"/>
      </w:pPr>
    </w:lvl>
    <w:lvl w:ilvl="7" w:tentative="0">
      <w:start w:val="1"/>
      <w:numFmt w:val="lowerLetter"/>
      <w:lvlText w:val="%8."/>
      <w:lvlJc w:val="left"/>
      <w:pPr>
        <w:ind w:left="6186" w:hanging="360"/>
      </w:pPr>
    </w:lvl>
    <w:lvl w:ilvl="8" w:tentative="0">
      <w:start w:val="1"/>
      <w:numFmt w:val="lowerRoman"/>
      <w:lvlText w:val="%9."/>
      <w:lvlJc w:val="right"/>
      <w:pPr>
        <w:ind w:left="6906" w:hanging="180"/>
      </w:pPr>
    </w:lvl>
  </w:abstractNum>
  <w:abstractNum w:abstractNumId="19">
    <w:nsid w:val="44802B68"/>
    <w:multiLevelType w:val="multilevel"/>
    <w:tmpl w:val="44802B68"/>
    <w:lvl w:ilvl="0" w:tentative="0">
      <w:start w:val="1"/>
      <w:numFmt w:val="decimal"/>
      <w:lvlText w:val="%1."/>
      <w:lvlJc w:val="left"/>
      <w:pPr>
        <w:ind w:left="352" w:hanging="360"/>
      </w:pPr>
      <w:rPr>
        <w:rFonts w:hint="default"/>
      </w:rPr>
    </w:lvl>
    <w:lvl w:ilvl="1" w:tentative="0">
      <w:start w:val="1"/>
      <w:numFmt w:val="lowerLetter"/>
      <w:lvlText w:val="%2."/>
      <w:lvlJc w:val="left"/>
      <w:pPr>
        <w:ind w:left="1072" w:hanging="360"/>
      </w:pPr>
    </w:lvl>
    <w:lvl w:ilvl="2" w:tentative="0">
      <w:start w:val="1"/>
      <w:numFmt w:val="lowerRoman"/>
      <w:lvlText w:val="%3."/>
      <w:lvlJc w:val="right"/>
      <w:pPr>
        <w:ind w:left="1792" w:hanging="180"/>
      </w:pPr>
    </w:lvl>
    <w:lvl w:ilvl="3" w:tentative="0">
      <w:start w:val="1"/>
      <w:numFmt w:val="decimal"/>
      <w:lvlText w:val="%4."/>
      <w:lvlJc w:val="left"/>
      <w:pPr>
        <w:ind w:left="2512" w:hanging="360"/>
      </w:pPr>
    </w:lvl>
    <w:lvl w:ilvl="4" w:tentative="0">
      <w:start w:val="1"/>
      <w:numFmt w:val="lowerLetter"/>
      <w:lvlText w:val="%5."/>
      <w:lvlJc w:val="left"/>
      <w:pPr>
        <w:ind w:left="3232" w:hanging="360"/>
      </w:pPr>
    </w:lvl>
    <w:lvl w:ilvl="5" w:tentative="0">
      <w:start w:val="1"/>
      <w:numFmt w:val="lowerRoman"/>
      <w:lvlText w:val="%6."/>
      <w:lvlJc w:val="right"/>
      <w:pPr>
        <w:ind w:left="3952" w:hanging="180"/>
      </w:pPr>
    </w:lvl>
    <w:lvl w:ilvl="6" w:tentative="0">
      <w:start w:val="1"/>
      <w:numFmt w:val="decimal"/>
      <w:lvlText w:val="%7."/>
      <w:lvlJc w:val="left"/>
      <w:pPr>
        <w:ind w:left="4672" w:hanging="360"/>
      </w:pPr>
    </w:lvl>
    <w:lvl w:ilvl="7" w:tentative="0">
      <w:start w:val="1"/>
      <w:numFmt w:val="lowerLetter"/>
      <w:lvlText w:val="%8."/>
      <w:lvlJc w:val="left"/>
      <w:pPr>
        <w:ind w:left="5392" w:hanging="360"/>
      </w:pPr>
    </w:lvl>
    <w:lvl w:ilvl="8" w:tentative="0">
      <w:start w:val="1"/>
      <w:numFmt w:val="lowerRoman"/>
      <w:lvlText w:val="%9."/>
      <w:lvlJc w:val="right"/>
      <w:pPr>
        <w:ind w:left="6112" w:hanging="180"/>
      </w:pPr>
    </w:lvl>
  </w:abstractNum>
  <w:abstractNum w:abstractNumId="20">
    <w:nsid w:val="457851CE"/>
    <w:multiLevelType w:val="multilevel"/>
    <w:tmpl w:val="457851CE"/>
    <w:lvl w:ilvl="0" w:tentative="0">
      <w:start w:val="1"/>
      <w:numFmt w:val="decimal"/>
      <w:lvlText w:val="%1."/>
      <w:lvlJc w:val="left"/>
      <w:pPr>
        <w:ind w:left="1494" w:hanging="360"/>
      </w:pPr>
      <w:rPr>
        <w:rFonts w:ascii="Humanst521 Lt BT" w:hAnsi="Humanst521 Lt BT" w:cs="Tahoma" w:eastAsiaTheme="minorHAnsi"/>
        <w:i w:val="0"/>
        <w:sz w:val="24"/>
      </w:rPr>
    </w:lvl>
    <w:lvl w:ilvl="1" w:tentative="0">
      <w:start w:val="1"/>
      <w:numFmt w:val="lowerLetter"/>
      <w:lvlText w:val="%2."/>
      <w:lvlJc w:val="left"/>
      <w:pPr>
        <w:ind w:left="2214" w:hanging="360"/>
      </w:pPr>
    </w:lvl>
    <w:lvl w:ilvl="2" w:tentative="0">
      <w:start w:val="1"/>
      <w:numFmt w:val="lowerRoman"/>
      <w:lvlText w:val="%3."/>
      <w:lvlJc w:val="right"/>
      <w:pPr>
        <w:ind w:left="2934" w:hanging="180"/>
      </w:pPr>
    </w:lvl>
    <w:lvl w:ilvl="3" w:tentative="0">
      <w:start w:val="1"/>
      <w:numFmt w:val="decimal"/>
      <w:lvlText w:val="%4."/>
      <w:lvlJc w:val="left"/>
      <w:pPr>
        <w:ind w:left="3654" w:hanging="360"/>
      </w:pPr>
    </w:lvl>
    <w:lvl w:ilvl="4" w:tentative="0">
      <w:start w:val="1"/>
      <w:numFmt w:val="lowerLetter"/>
      <w:lvlText w:val="%5."/>
      <w:lvlJc w:val="left"/>
      <w:pPr>
        <w:ind w:left="4374" w:hanging="360"/>
      </w:pPr>
    </w:lvl>
    <w:lvl w:ilvl="5" w:tentative="0">
      <w:start w:val="1"/>
      <w:numFmt w:val="lowerRoman"/>
      <w:lvlText w:val="%6."/>
      <w:lvlJc w:val="right"/>
      <w:pPr>
        <w:ind w:left="5094" w:hanging="180"/>
      </w:pPr>
    </w:lvl>
    <w:lvl w:ilvl="6" w:tentative="0">
      <w:start w:val="1"/>
      <w:numFmt w:val="decimal"/>
      <w:lvlText w:val="%7."/>
      <w:lvlJc w:val="left"/>
      <w:pPr>
        <w:ind w:left="5814" w:hanging="360"/>
      </w:pPr>
    </w:lvl>
    <w:lvl w:ilvl="7" w:tentative="0">
      <w:start w:val="1"/>
      <w:numFmt w:val="lowerLetter"/>
      <w:lvlText w:val="%8."/>
      <w:lvlJc w:val="left"/>
      <w:pPr>
        <w:ind w:left="6534" w:hanging="360"/>
      </w:pPr>
    </w:lvl>
    <w:lvl w:ilvl="8" w:tentative="0">
      <w:start w:val="1"/>
      <w:numFmt w:val="lowerRoman"/>
      <w:lvlText w:val="%9."/>
      <w:lvlJc w:val="right"/>
      <w:pPr>
        <w:ind w:left="7254" w:hanging="180"/>
      </w:pPr>
    </w:lvl>
  </w:abstractNum>
  <w:abstractNum w:abstractNumId="21">
    <w:nsid w:val="461F67BE"/>
    <w:multiLevelType w:val="multilevel"/>
    <w:tmpl w:val="461F67BE"/>
    <w:lvl w:ilvl="0" w:tentative="0">
      <w:start w:val="22"/>
      <w:numFmt w:val="bullet"/>
      <w:lvlText w:val="-"/>
      <w:lvlJc w:val="left"/>
      <w:pPr>
        <w:ind w:left="1353" w:hanging="360"/>
      </w:pPr>
      <w:rPr>
        <w:rFonts w:hint="default" w:ascii="Tahoma" w:hAnsi="Tahoma" w:eastAsia="Times New Roman" w:cs="Tahoma"/>
      </w:rPr>
    </w:lvl>
    <w:lvl w:ilvl="1" w:tentative="0">
      <w:start w:val="1"/>
      <w:numFmt w:val="bullet"/>
      <w:lvlText w:val="o"/>
      <w:lvlJc w:val="left"/>
      <w:pPr>
        <w:ind w:left="2073" w:hanging="360"/>
      </w:pPr>
      <w:rPr>
        <w:rFonts w:hint="default" w:ascii="Courier New" w:hAnsi="Courier New" w:cs="Courier New"/>
      </w:rPr>
    </w:lvl>
    <w:lvl w:ilvl="2" w:tentative="0">
      <w:start w:val="1"/>
      <w:numFmt w:val="bullet"/>
      <w:lvlText w:val=""/>
      <w:lvlJc w:val="left"/>
      <w:pPr>
        <w:ind w:left="2793" w:hanging="360"/>
      </w:pPr>
      <w:rPr>
        <w:rFonts w:hint="default" w:ascii="Wingdings" w:hAnsi="Wingdings"/>
      </w:rPr>
    </w:lvl>
    <w:lvl w:ilvl="3" w:tentative="0">
      <w:start w:val="1"/>
      <w:numFmt w:val="bullet"/>
      <w:lvlText w:val=""/>
      <w:lvlJc w:val="left"/>
      <w:pPr>
        <w:ind w:left="3513" w:hanging="360"/>
      </w:pPr>
      <w:rPr>
        <w:rFonts w:hint="default" w:ascii="Symbol" w:hAnsi="Symbol"/>
      </w:rPr>
    </w:lvl>
    <w:lvl w:ilvl="4" w:tentative="0">
      <w:start w:val="1"/>
      <w:numFmt w:val="bullet"/>
      <w:lvlText w:val="o"/>
      <w:lvlJc w:val="left"/>
      <w:pPr>
        <w:ind w:left="4233" w:hanging="360"/>
      </w:pPr>
      <w:rPr>
        <w:rFonts w:hint="default" w:ascii="Courier New" w:hAnsi="Courier New" w:cs="Courier New"/>
      </w:rPr>
    </w:lvl>
    <w:lvl w:ilvl="5" w:tentative="0">
      <w:start w:val="1"/>
      <w:numFmt w:val="bullet"/>
      <w:lvlText w:val=""/>
      <w:lvlJc w:val="left"/>
      <w:pPr>
        <w:ind w:left="4953" w:hanging="360"/>
      </w:pPr>
      <w:rPr>
        <w:rFonts w:hint="default" w:ascii="Wingdings" w:hAnsi="Wingdings"/>
      </w:rPr>
    </w:lvl>
    <w:lvl w:ilvl="6" w:tentative="0">
      <w:start w:val="1"/>
      <w:numFmt w:val="bullet"/>
      <w:lvlText w:val=""/>
      <w:lvlJc w:val="left"/>
      <w:pPr>
        <w:ind w:left="5673" w:hanging="360"/>
      </w:pPr>
      <w:rPr>
        <w:rFonts w:hint="default" w:ascii="Symbol" w:hAnsi="Symbol"/>
      </w:rPr>
    </w:lvl>
    <w:lvl w:ilvl="7" w:tentative="0">
      <w:start w:val="1"/>
      <w:numFmt w:val="bullet"/>
      <w:lvlText w:val="o"/>
      <w:lvlJc w:val="left"/>
      <w:pPr>
        <w:ind w:left="6393" w:hanging="360"/>
      </w:pPr>
      <w:rPr>
        <w:rFonts w:hint="default" w:ascii="Courier New" w:hAnsi="Courier New" w:cs="Courier New"/>
      </w:rPr>
    </w:lvl>
    <w:lvl w:ilvl="8" w:tentative="0">
      <w:start w:val="1"/>
      <w:numFmt w:val="bullet"/>
      <w:lvlText w:val=""/>
      <w:lvlJc w:val="left"/>
      <w:pPr>
        <w:ind w:left="7113" w:hanging="360"/>
      </w:pPr>
      <w:rPr>
        <w:rFonts w:hint="default" w:ascii="Wingdings" w:hAnsi="Wingdings"/>
      </w:rPr>
    </w:lvl>
  </w:abstractNum>
  <w:abstractNum w:abstractNumId="22">
    <w:nsid w:val="496F5A54"/>
    <w:multiLevelType w:val="multilevel"/>
    <w:tmpl w:val="496F5A54"/>
    <w:lvl w:ilvl="0" w:tentative="0">
      <w:start w:val="1"/>
      <w:numFmt w:val="bullet"/>
      <w:lvlText w:val=""/>
      <w:lvlPicBulletId w:val="0"/>
      <w:lvlJc w:val="left"/>
      <w:pPr>
        <w:ind w:left="2421" w:hanging="360"/>
      </w:pPr>
      <w:rPr>
        <w:rFonts w:hint="default" w:ascii="Symbol" w:hAnsi="Symbol"/>
      </w:rPr>
    </w:lvl>
    <w:lvl w:ilvl="1" w:tentative="0">
      <w:start w:val="1"/>
      <w:numFmt w:val="bullet"/>
      <w:lvlText w:val="o"/>
      <w:lvlJc w:val="left"/>
      <w:pPr>
        <w:ind w:left="3141" w:hanging="360"/>
      </w:pPr>
      <w:rPr>
        <w:rFonts w:hint="default" w:ascii="Courier New" w:hAnsi="Courier New" w:cs="Courier New"/>
      </w:rPr>
    </w:lvl>
    <w:lvl w:ilvl="2" w:tentative="0">
      <w:start w:val="1"/>
      <w:numFmt w:val="bullet"/>
      <w:lvlText w:val=""/>
      <w:lvlJc w:val="left"/>
      <w:pPr>
        <w:ind w:left="3861" w:hanging="360"/>
      </w:pPr>
      <w:rPr>
        <w:rFonts w:hint="default" w:ascii="Wingdings" w:hAnsi="Wingdings"/>
      </w:rPr>
    </w:lvl>
    <w:lvl w:ilvl="3" w:tentative="0">
      <w:start w:val="1"/>
      <w:numFmt w:val="bullet"/>
      <w:lvlText w:val=""/>
      <w:lvlJc w:val="left"/>
      <w:pPr>
        <w:ind w:left="4581" w:hanging="360"/>
      </w:pPr>
      <w:rPr>
        <w:rFonts w:hint="default" w:ascii="Symbol" w:hAnsi="Symbol"/>
      </w:rPr>
    </w:lvl>
    <w:lvl w:ilvl="4" w:tentative="0">
      <w:start w:val="1"/>
      <w:numFmt w:val="bullet"/>
      <w:lvlText w:val="o"/>
      <w:lvlJc w:val="left"/>
      <w:pPr>
        <w:ind w:left="5301" w:hanging="360"/>
      </w:pPr>
      <w:rPr>
        <w:rFonts w:hint="default" w:ascii="Courier New" w:hAnsi="Courier New" w:cs="Courier New"/>
      </w:rPr>
    </w:lvl>
    <w:lvl w:ilvl="5" w:tentative="0">
      <w:start w:val="1"/>
      <w:numFmt w:val="bullet"/>
      <w:lvlText w:val=""/>
      <w:lvlJc w:val="left"/>
      <w:pPr>
        <w:ind w:left="6021" w:hanging="360"/>
      </w:pPr>
      <w:rPr>
        <w:rFonts w:hint="default" w:ascii="Wingdings" w:hAnsi="Wingdings"/>
      </w:rPr>
    </w:lvl>
    <w:lvl w:ilvl="6" w:tentative="0">
      <w:start w:val="1"/>
      <w:numFmt w:val="bullet"/>
      <w:lvlText w:val=""/>
      <w:lvlJc w:val="left"/>
      <w:pPr>
        <w:ind w:left="6741" w:hanging="360"/>
      </w:pPr>
      <w:rPr>
        <w:rFonts w:hint="default" w:ascii="Symbol" w:hAnsi="Symbol"/>
      </w:rPr>
    </w:lvl>
    <w:lvl w:ilvl="7" w:tentative="0">
      <w:start w:val="1"/>
      <w:numFmt w:val="bullet"/>
      <w:lvlText w:val="o"/>
      <w:lvlJc w:val="left"/>
      <w:pPr>
        <w:ind w:left="7461" w:hanging="360"/>
      </w:pPr>
      <w:rPr>
        <w:rFonts w:hint="default" w:ascii="Courier New" w:hAnsi="Courier New" w:cs="Courier New"/>
      </w:rPr>
    </w:lvl>
    <w:lvl w:ilvl="8" w:tentative="0">
      <w:start w:val="1"/>
      <w:numFmt w:val="bullet"/>
      <w:lvlText w:val=""/>
      <w:lvlJc w:val="left"/>
      <w:pPr>
        <w:ind w:left="8181" w:hanging="360"/>
      </w:pPr>
      <w:rPr>
        <w:rFonts w:hint="default" w:ascii="Wingdings" w:hAnsi="Wingdings"/>
      </w:rPr>
    </w:lvl>
  </w:abstractNum>
  <w:abstractNum w:abstractNumId="23">
    <w:nsid w:val="4B4714AD"/>
    <w:multiLevelType w:val="multilevel"/>
    <w:tmpl w:val="4B4714AD"/>
    <w:lvl w:ilvl="0" w:tentative="0">
      <w:start w:val="1"/>
      <w:numFmt w:val="decimal"/>
      <w:lvlText w:val="%1."/>
      <w:lvlJc w:val="left"/>
      <w:pPr>
        <w:ind w:left="1211" w:hanging="360"/>
      </w:pPr>
      <w:rPr>
        <w:rFonts w:ascii="Futura Bk BT" w:hAnsi="Futura Bk BT" w:cs="Tahoma" w:eastAsiaTheme="minorHAnsi"/>
      </w:rPr>
    </w:lvl>
    <w:lvl w:ilvl="1" w:tentative="0">
      <w:start w:val="1"/>
      <w:numFmt w:val="lowerLetter"/>
      <w:lvlText w:val="%2."/>
      <w:lvlJc w:val="left"/>
      <w:pPr>
        <w:ind w:left="1931" w:hanging="360"/>
      </w:pPr>
    </w:lvl>
    <w:lvl w:ilvl="2" w:tentative="0">
      <w:start w:val="1"/>
      <w:numFmt w:val="lowerRoman"/>
      <w:lvlText w:val="%3."/>
      <w:lvlJc w:val="right"/>
      <w:pPr>
        <w:ind w:left="2651" w:hanging="180"/>
      </w:pPr>
    </w:lvl>
    <w:lvl w:ilvl="3" w:tentative="0">
      <w:start w:val="1"/>
      <w:numFmt w:val="decimal"/>
      <w:lvlText w:val="%4."/>
      <w:lvlJc w:val="left"/>
      <w:pPr>
        <w:ind w:left="3371" w:hanging="360"/>
      </w:pPr>
    </w:lvl>
    <w:lvl w:ilvl="4" w:tentative="0">
      <w:start w:val="1"/>
      <w:numFmt w:val="lowerLetter"/>
      <w:lvlText w:val="%5."/>
      <w:lvlJc w:val="left"/>
      <w:pPr>
        <w:ind w:left="4091" w:hanging="360"/>
      </w:pPr>
    </w:lvl>
    <w:lvl w:ilvl="5" w:tentative="0">
      <w:start w:val="1"/>
      <w:numFmt w:val="lowerRoman"/>
      <w:lvlText w:val="%6."/>
      <w:lvlJc w:val="right"/>
      <w:pPr>
        <w:ind w:left="4811" w:hanging="180"/>
      </w:pPr>
    </w:lvl>
    <w:lvl w:ilvl="6" w:tentative="0">
      <w:start w:val="1"/>
      <w:numFmt w:val="decimal"/>
      <w:lvlText w:val="%7."/>
      <w:lvlJc w:val="left"/>
      <w:pPr>
        <w:ind w:left="5531" w:hanging="360"/>
      </w:pPr>
    </w:lvl>
    <w:lvl w:ilvl="7" w:tentative="0">
      <w:start w:val="1"/>
      <w:numFmt w:val="lowerLetter"/>
      <w:lvlText w:val="%8."/>
      <w:lvlJc w:val="left"/>
      <w:pPr>
        <w:ind w:left="6251" w:hanging="360"/>
      </w:pPr>
    </w:lvl>
    <w:lvl w:ilvl="8" w:tentative="0">
      <w:start w:val="1"/>
      <w:numFmt w:val="lowerRoman"/>
      <w:lvlText w:val="%9."/>
      <w:lvlJc w:val="right"/>
      <w:pPr>
        <w:ind w:left="6971" w:hanging="180"/>
      </w:pPr>
    </w:lvl>
  </w:abstractNum>
  <w:abstractNum w:abstractNumId="24">
    <w:nsid w:val="4BAC3AD7"/>
    <w:multiLevelType w:val="multilevel"/>
    <w:tmpl w:val="4BAC3AD7"/>
    <w:lvl w:ilvl="0" w:tentative="0">
      <w:start w:val="1"/>
      <w:numFmt w:val="decimal"/>
      <w:lvlText w:val="%1."/>
      <w:lvlJc w:val="left"/>
      <w:pPr>
        <w:ind w:left="1920" w:hanging="360"/>
      </w:pPr>
      <w:rPr>
        <w:rFonts w:hint="default" w:ascii="Futura Bk BT" w:hAnsi="Futura Bk BT" w:cs="Calibri"/>
        <w:b w:val="0"/>
      </w:rPr>
    </w:lvl>
    <w:lvl w:ilvl="1" w:tentative="0">
      <w:start w:val="1"/>
      <w:numFmt w:val="lowerLetter"/>
      <w:lvlText w:val="%2."/>
      <w:lvlJc w:val="left"/>
      <w:pPr>
        <w:ind w:left="2640" w:hanging="360"/>
      </w:pPr>
    </w:lvl>
    <w:lvl w:ilvl="2" w:tentative="0">
      <w:start w:val="1"/>
      <w:numFmt w:val="lowerRoman"/>
      <w:lvlText w:val="%3."/>
      <w:lvlJc w:val="right"/>
      <w:pPr>
        <w:ind w:left="3360" w:hanging="180"/>
      </w:pPr>
    </w:lvl>
    <w:lvl w:ilvl="3" w:tentative="0">
      <w:start w:val="1"/>
      <w:numFmt w:val="decimal"/>
      <w:lvlText w:val="%4."/>
      <w:lvlJc w:val="left"/>
      <w:pPr>
        <w:ind w:left="4080" w:hanging="360"/>
      </w:pPr>
    </w:lvl>
    <w:lvl w:ilvl="4" w:tentative="0">
      <w:start w:val="1"/>
      <w:numFmt w:val="lowerLetter"/>
      <w:lvlText w:val="%5."/>
      <w:lvlJc w:val="left"/>
      <w:pPr>
        <w:ind w:left="4800" w:hanging="360"/>
      </w:pPr>
    </w:lvl>
    <w:lvl w:ilvl="5" w:tentative="0">
      <w:start w:val="1"/>
      <w:numFmt w:val="lowerRoman"/>
      <w:lvlText w:val="%6."/>
      <w:lvlJc w:val="right"/>
      <w:pPr>
        <w:ind w:left="5520" w:hanging="180"/>
      </w:pPr>
    </w:lvl>
    <w:lvl w:ilvl="6" w:tentative="0">
      <w:start w:val="1"/>
      <w:numFmt w:val="decimal"/>
      <w:lvlText w:val="%7."/>
      <w:lvlJc w:val="left"/>
      <w:pPr>
        <w:ind w:left="6240" w:hanging="360"/>
      </w:pPr>
    </w:lvl>
    <w:lvl w:ilvl="7" w:tentative="0">
      <w:start w:val="1"/>
      <w:numFmt w:val="lowerLetter"/>
      <w:lvlText w:val="%8."/>
      <w:lvlJc w:val="left"/>
      <w:pPr>
        <w:ind w:left="6960" w:hanging="360"/>
      </w:pPr>
    </w:lvl>
    <w:lvl w:ilvl="8" w:tentative="0">
      <w:start w:val="1"/>
      <w:numFmt w:val="lowerRoman"/>
      <w:lvlText w:val="%9."/>
      <w:lvlJc w:val="right"/>
      <w:pPr>
        <w:ind w:left="7680" w:hanging="180"/>
      </w:pPr>
    </w:lvl>
  </w:abstractNum>
  <w:abstractNum w:abstractNumId="25">
    <w:nsid w:val="4E915708"/>
    <w:multiLevelType w:val="multilevel"/>
    <w:tmpl w:val="4E915708"/>
    <w:lvl w:ilvl="0" w:tentative="0">
      <w:start w:val="1"/>
      <w:numFmt w:val="decimal"/>
      <w:lvlText w:val="%1."/>
      <w:lvlJc w:val="left"/>
      <w:pPr>
        <w:ind w:left="1080" w:hanging="360"/>
      </w:pPr>
      <w:rPr>
        <w:rFonts w:hint="default"/>
        <w:b w:val="0"/>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26">
    <w:nsid w:val="528A2C56"/>
    <w:multiLevelType w:val="multilevel"/>
    <w:tmpl w:val="528A2C56"/>
    <w:lvl w:ilvl="0" w:tentative="0">
      <w:start w:val="1"/>
      <w:numFmt w:val="decimal"/>
      <w:lvlText w:val="%1."/>
      <w:lvlJc w:val="left"/>
      <w:pPr>
        <w:ind w:left="1146" w:hanging="360"/>
      </w:pPr>
      <w:rPr>
        <w:rFonts w:hint="default" w:ascii="Humanst521 Lt BT" w:hAnsi="Humanst521 Lt BT"/>
      </w:rPr>
    </w:lvl>
    <w:lvl w:ilvl="1" w:tentative="0">
      <w:start w:val="1"/>
      <w:numFmt w:val="lowerLetter"/>
      <w:lvlText w:val="%2."/>
      <w:lvlJc w:val="left"/>
      <w:pPr>
        <w:ind w:left="1866" w:hanging="360"/>
      </w:pPr>
    </w:lvl>
    <w:lvl w:ilvl="2" w:tentative="0">
      <w:start w:val="1"/>
      <w:numFmt w:val="lowerRoman"/>
      <w:lvlText w:val="%3."/>
      <w:lvlJc w:val="right"/>
      <w:pPr>
        <w:ind w:left="2586" w:hanging="180"/>
      </w:pPr>
    </w:lvl>
    <w:lvl w:ilvl="3" w:tentative="0">
      <w:start w:val="1"/>
      <w:numFmt w:val="decimal"/>
      <w:lvlText w:val="%4."/>
      <w:lvlJc w:val="left"/>
      <w:pPr>
        <w:ind w:left="3306" w:hanging="360"/>
      </w:pPr>
    </w:lvl>
    <w:lvl w:ilvl="4" w:tentative="0">
      <w:start w:val="1"/>
      <w:numFmt w:val="lowerLetter"/>
      <w:lvlText w:val="%5."/>
      <w:lvlJc w:val="left"/>
      <w:pPr>
        <w:ind w:left="4026" w:hanging="360"/>
      </w:pPr>
    </w:lvl>
    <w:lvl w:ilvl="5" w:tentative="0">
      <w:start w:val="1"/>
      <w:numFmt w:val="lowerRoman"/>
      <w:lvlText w:val="%6."/>
      <w:lvlJc w:val="right"/>
      <w:pPr>
        <w:ind w:left="4746" w:hanging="180"/>
      </w:pPr>
    </w:lvl>
    <w:lvl w:ilvl="6" w:tentative="0">
      <w:start w:val="1"/>
      <w:numFmt w:val="decimal"/>
      <w:lvlText w:val="%7."/>
      <w:lvlJc w:val="left"/>
      <w:pPr>
        <w:ind w:left="5466" w:hanging="360"/>
      </w:pPr>
    </w:lvl>
    <w:lvl w:ilvl="7" w:tentative="0">
      <w:start w:val="1"/>
      <w:numFmt w:val="lowerLetter"/>
      <w:lvlText w:val="%8."/>
      <w:lvlJc w:val="left"/>
      <w:pPr>
        <w:ind w:left="6186" w:hanging="360"/>
      </w:pPr>
    </w:lvl>
    <w:lvl w:ilvl="8" w:tentative="0">
      <w:start w:val="1"/>
      <w:numFmt w:val="lowerRoman"/>
      <w:lvlText w:val="%9."/>
      <w:lvlJc w:val="right"/>
      <w:pPr>
        <w:ind w:left="6906" w:hanging="180"/>
      </w:pPr>
    </w:lvl>
  </w:abstractNum>
  <w:abstractNum w:abstractNumId="27">
    <w:nsid w:val="543C46B5"/>
    <w:multiLevelType w:val="multilevel"/>
    <w:tmpl w:val="543C46B5"/>
    <w:lvl w:ilvl="0" w:tentative="0">
      <w:start w:val="1"/>
      <w:numFmt w:val="bullet"/>
      <w:lvlText w:val=""/>
      <w:lvlJc w:val="left"/>
      <w:pPr>
        <w:ind w:left="786" w:hanging="360"/>
      </w:pPr>
      <w:rPr>
        <w:rFonts w:hint="default" w:ascii="Wingdings" w:hAnsi="Wingdings"/>
      </w:r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28">
    <w:nsid w:val="56AA10C6"/>
    <w:multiLevelType w:val="multilevel"/>
    <w:tmpl w:val="56AA10C6"/>
    <w:lvl w:ilvl="0" w:tentative="0">
      <w:start w:val="1"/>
      <w:numFmt w:val="decimal"/>
      <w:lvlText w:val="%1."/>
      <w:lvlJc w:val="left"/>
      <w:pPr>
        <w:ind w:left="786" w:hanging="360"/>
      </w:pPr>
      <w:rPr>
        <w:rFonts w:hint="default"/>
      </w:r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29">
    <w:nsid w:val="572D2BB9"/>
    <w:multiLevelType w:val="multilevel"/>
    <w:tmpl w:val="572D2BB9"/>
    <w:lvl w:ilvl="0" w:tentative="0">
      <w:start w:val="1"/>
      <w:numFmt w:val="decimal"/>
      <w:lvlText w:val="%1."/>
      <w:lvlJc w:val="left"/>
      <w:pPr>
        <w:ind w:left="720" w:hanging="360"/>
      </w:pPr>
      <w:rPr>
        <w:rFonts w:hint="default" w:ascii="Humanst521 Lt BT" w:hAnsi="Humanst521 Lt BT" w:eastAsia="Calibri" w:cs="Tahoma"/>
        <w:color w:val="auto"/>
      </w:rPr>
    </w:lvl>
    <w:lvl w:ilvl="1" w:tentative="0">
      <w:start w:val="4"/>
      <w:numFmt w:val="decimal"/>
      <w:isLgl/>
      <w:lvlText w:val="%1.%2."/>
      <w:lvlJc w:val="left"/>
      <w:pPr>
        <w:ind w:left="2138" w:hanging="720"/>
      </w:pPr>
      <w:rPr>
        <w:rFonts w:hint="default"/>
      </w:rPr>
    </w:lvl>
    <w:lvl w:ilvl="2" w:tentative="0">
      <w:start w:val="1"/>
      <w:numFmt w:val="decimal"/>
      <w:isLgl/>
      <w:lvlText w:val="%1.%2.%3."/>
      <w:lvlJc w:val="left"/>
      <w:pPr>
        <w:ind w:left="3196" w:hanging="720"/>
      </w:pPr>
      <w:rPr>
        <w:rFonts w:hint="default"/>
      </w:rPr>
    </w:lvl>
    <w:lvl w:ilvl="3" w:tentative="0">
      <w:start w:val="1"/>
      <w:numFmt w:val="decimal"/>
      <w:isLgl/>
      <w:lvlText w:val="%1.%2.%3.%4."/>
      <w:lvlJc w:val="left"/>
      <w:pPr>
        <w:ind w:left="4614" w:hanging="1080"/>
      </w:pPr>
      <w:rPr>
        <w:rFonts w:hint="default"/>
      </w:rPr>
    </w:lvl>
    <w:lvl w:ilvl="4" w:tentative="0">
      <w:start w:val="1"/>
      <w:numFmt w:val="decimal"/>
      <w:isLgl/>
      <w:lvlText w:val="%1.%2.%3.%4.%5."/>
      <w:lvlJc w:val="left"/>
      <w:pPr>
        <w:ind w:left="6032" w:hanging="1440"/>
      </w:pPr>
      <w:rPr>
        <w:rFonts w:hint="default"/>
      </w:rPr>
    </w:lvl>
    <w:lvl w:ilvl="5" w:tentative="0">
      <w:start w:val="1"/>
      <w:numFmt w:val="decimal"/>
      <w:isLgl/>
      <w:lvlText w:val="%1.%2.%3.%4.%5.%6."/>
      <w:lvlJc w:val="left"/>
      <w:pPr>
        <w:ind w:left="7090" w:hanging="1440"/>
      </w:pPr>
      <w:rPr>
        <w:rFonts w:hint="default"/>
      </w:rPr>
    </w:lvl>
    <w:lvl w:ilvl="6" w:tentative="0">
      <w:start w:val="1"/>
      <w:numFmt w:val="decimal"/>
      <w:isLgl/>
      <w:lvlText w:val="%1.%2.%3.%4.%5.%6.%7."/>
      <w:lvlJc w:val="left"/>
      <w:pPr>
        <w:ind w:left="8508" w:hanging="1800"/>
      </w:pPr>
      <w:rPr>
        <w:rFonts w:hint="default"/>
      </w:rPr>
    </w:lvl>
    <w:lvl w:ilvl="7" w:tentative="0">
      <w:start w:val="1"/>
      <w:numFmt w:val="decimal"/>
      <w:isLgl/>
      <w:lvlText w:val="%1.%2.%3.%4.%5.%6.%7.%8."/>
      <w:lvlJc w:val="left"/>
      <w:pPr>
        <w:ind w:left="9926" w:hanging="2160"/>
      </w:pPr>
      <w:rPr>
        <w:rFonts w:hint="default"/>
      </w:rPr>
    </w:lvl>
    <w:lvl w:ilvl="8" w:tentative="0">
      <w:start w:val="1"/>
      <w:numFmt w:val="decimal"/>
      <w:isLgl/>
      <w:lvlText w:val="%1.%2.%3.%4.%5.%6.%7.%8.%9."/>
      <w:lvlJc w:val="left"/>
      <w:pPr>
        <w:ind w:left="10984" w:hanging="2160"/>
      </w:pPr>
      <w:rPr>
        <w:rFonts w:hint="default"/>
      </w:rPr>
    </w:lvl>
  </w:abstractNum>
  <w:abstractNum w:abstractNumId="30">
    <w:nsid w:val="57A92EAD"/>
    <w:multiLevelType w:val="multilevel"/>
    <w:tmpl w:val="57A92EAD"/>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1">
    <w:nsid w:val="57CF6093"/>
    <w:multiLevelType w:val="multilevel"/>
    <w:tmpl w:val="57CF6093"/>
    <w:lvl w:ilvl="0" w:tentative="0">
      <w:start w:val="1"/>
      <w:numFmt w:val="bullet"/>
      <w:lvlText w:val=""/>
      <w:lvlPicBulletId w:val="2"/>
      <w:lvlJc w:val="left"/>
      <w:pPr>
        <w:ind w:left="2563" w:hanging="360"/>
      </w:pPr>
      <w:rPr>
        <w:rFonts w:hint="default" w:ascii="Symbol" w:hAnsi="Symbol"/>
        <w:color w:val="auto"/>
      </w:rPr>
    </w:lvl>
    <w:lvl w:ilvl="1" w:tentative="0">
      <w:start w:val="1"/>
      <w:numFmt w:val="bullet"/>
      <w:lvlText w:val="o"/>
      <w:lvlJc w:val="left"/>
      <w:pPr>
        <w:ind w:left="3283" w:hanging="360"/>
      </w:pPr>
      <w:rPr>
        <w:rFonts w:hint="default" w:ascii="Courier New" w:hAnsi="Courier New" w:cs="Courier New"/>
      </w:rPr>
    </w:lvl>
    <w:lvl w:ilvl="2" w:tentative="0">
      <w:start w:val="1"/>
      <w:numFmt w:val="bullet"/>
      <w:lvlText w:val=""/>
      <w:lvlJc w:val="left"/>
      <w:pPr>
        <w:ind w:left="4003" w:hanging="360"/>
      </w:pPr>
      <w:rPr>
        <w:rFonts w:hint="default" w:ascii="Wingdings" w:hAnsi="Wingdings"/>
      </w:rPr>
    </w:lvl>
    <w:lvl w:ilvl="3" w:tentative="0">
      <w:start w:val="1"/>
      <w:numFmt w:val="bullet"/>
      <w:lvlText w:val=""/>
      <w:lvlJc w:val="left"/>
      <w:pPr>
        <w:ind w:left="4723" w:hanging="360"/>
      </w:pPr>
      <w:rPr>
        <w:rFonts w:hint="default" w:ascii="Symbol" w:hAnsi="Symbol"/>
      </w:rPr>
    </w:lvl>
    <w:lvl w:ilvl="4" w:tentative="0">
      <w:start w:val="1"/>
      <w:numFmt w:val="bullet"/>
      <w:lvlText w:val="o"/>
      <w:lvlJc w:val="left"/>
      <w:pPr>
        <w:ind w:left="5443" w:hanging="360"/>
      </w:pPr>
      <w:rPr>
        <w:rFonts w:hint="default" w:ascii="Courier New" w:hAnsi="Courier New" w:cs="Courier New"/>
      </w:rPr>
    </w:lvl>
    <w:lvl w:ilvl="5" w:tentative="0">
      <w:start w:val="1"/>
      <w:numFmt w:val="bullet"/>
      <w:lvlText w:val=""/>
      <w:lvlJc w:val="left"/>
      <w:pPr>
        <w:ind w:left="6163" w:hanging="360"/>
      </w:pPr>
      <w:rPr>
        <w:rFonts w:hint="default" w:ascii="Wingdings" w:hAnsi="Wingdings"/>
      </w:rPr>
    </w:lvl>
    <w:lvl w:ilvl="6" w:tentative="0">
      <w:start w:val="1"/>
      <w:numFmt w:val="bullet"/>
      <w:lvlText w:val=""/>
      <w:lvlJc w:val="left"/>
      <w:pPr>
        <w:ind w:left="6883" w:hanging="360"/>
      </w:pPr>
      <w:rPr>
        <w:rFonts w:hint="default" w:ascii="Symbol" w:hAnsi="Symbol"/>
      </w:rPr>
    </w:lvl>
    <w:lvl w:ilvl="7" w:tentative="0">
      <w:start w:val="1"/>
      <w:numFmt w:val="bullet"/>
      <w:lvlText w:val="o"/>
      <w:lvlJc w:val="left"/>
      <w:pPr>
        <w:ind w:left="7603" w:hanging="360"/>
      </w:pPr>
      <w:rPr>
        <w:rFonts w:hint="default" w:ascii="Courier New" w:hAnsi="Courier New" w:cs="Courier New"/>
      </w:rPr>
    </w:lvl>
    <w:lvl w:ilvl="8" w:tentative="0">
      <w:start w:val="1"/>
      <w:numFmt w:val="bullet"/>
      <w:lvlText w:val=""/>
      <w:lvlJc w:val="left"/>
      <w:pPr>
        <w:ind w:left="8323" w:hanging="360"/>
      </w:pPr>
      <w:rPr>
        <w:rFonts w:hint="default" w:ascii="Wingdings" w:hAnsi="Wingdings"/>
      </w:rPr>
    </w:lvl>
  </w:abstractNum>
  <w:abstractNum w:abstractNumId="32">
    <w:nsid w:val="5DBD61DB"/>
    <w:multiLevelType w:val="multilevel"/>
    <w:tmpl w:val="5DBD61DB"/>
    <w:lvl w:ilvl="0" w:tentative="0">
      <w:start w:val="1"/>
      <w:numFmt w:val="decimal"/>
      <w:lvlText w:val="%1."/>
      <w:lvlJc w:val="left"/>
      <w:pPr>
        <w:ind w:left="720" w:hanging="360"/>
      </w:pPr>
      <w:rPr>
        <w:rFonts w:hint="default"/>
        <w:b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3">
    <w:nsid w:val="5E166499"/>
    <w:multiLevelType w:val="singleLevel"/>
    <w:tmpl w:val="5E166499"/>
    <w:lvl w:ilvl="0" w:tentative="0">
      <w:start w:val="1"/>
      <w:numFmt w:val="decimal"/>
      <w:lvlText w:val="%1."/>
      <w:lvlJc w:val="left"/>
      <w:pPr>
        <w:tabs>
          <w:tab w:val="left" w:pos="425"/>
        </w:tabs>
        <w:ind w:left="425" w:leftChars="0" w:hanging="425" w:firstLineChars="0"/>
      </w:pPr>
      <w:rPr>
        <w:rFonts w:hint="default"/>
      </w:rPr>
    </w:lvl>
  </w:abstractNum>
  <w:abstractNum w:abstractNumId="34">
    <w:nsid w:val="61021A91"/>
    <w:multiLevelType w:val="singleLevel"/>
    <w:tmpl w:val="61021A91"/>
    <w:lvl w:ilvl="0" w:tentative="0">
      <w:start w:val="1"/>
      <w:numFmt w:val="upperLetter"/>
      <w:suff w:val="space"/>
      <w:lvlText w:val="%1."/>
      <w:lvlJc w:val="left"/>
      <w:rPr>
        <w:rFonts w:hint="default"/>
        <w:b w:val="0"/>
        <w:bCs w:val="0"/>
      </w:rPr>
    </w:lvl>
  </w:abstractNum>
  <w:abstractNum w:abstractNumId="35">
    <w:nsid w:val="631617F1"/>
    <w:multiLevelType w:val="multilevel"/>
    <w:tmpl w:val="631617F1"/>
    <w:lvl w:ilvl="0" w:tentative="0">
      <w:start w:val="1"/>
      <w:numFmt w:val="decimal"/>
      <w:lvlText w:val="%1."/>
      <w:lvlJc w:val="left"/>
      <w:pPr>
        <w:ind w:left="2345" w:hanging="360"/>
      </w:pPr>
      <w:rPr>
        <w:rFonts w:hint="default"/>
      </w:rPr>
    </w:lvl>
    <w:lvl w:ilvl="1" w:tentative="0">
      <w:start w:val="1"/>
      <w:numFmt w:val="lowerLetter"/>
      <w:lvlText w:val="%2."/>
      <w:lvlJc w:val="left"/>
      <w:pPr>
        <w:ind w:left="3065" w:hanging="360"/>
      </w:pPr>
    </w:lvl>
    <w:lvl w:ilvl="2" w:tentative="0">
      <w:start w:val="1"/>
      <w:numFmt w:val="lowerRoman"/>
      <w:lvlText w:val="%3."/>
      <w:lvlJc w:val="right"/>
      <w:pPr>
        <w:ind w:left="3785" w:hanging="180"/>
      </w:pPr>
    </w:lvl>
    <w:lvl w:ilvl="3" w:tentative="0">
      <w:start w:val="1"/>
      <w:numFmt w:val="decimal"/>
      <w:lvlText w:val="%4."/>
      <w:lvlJc w:val="left"/>
      <w:pPr>
        <w:ind w:left="4505" w:hanging="360"/>
      </w:pPr>
    </w:lvl>
    <w:lvl w:ilvl="4" w:tentative="0">
      <w:start w:val="1"/>
      <w:numFmt w:val="lowerLetter"/>
      <w:lvlText w:val="%5."/>
      <w:lvlJc w:val="left"/>
      <w:pPr>
        <w:ind w:left="5225" w:hanging="360"/>
      </w:pPr>
    </w:lvl>
    <w:lvl w:ilvl="5" w:tentative="0">
      <w:start w:val="1"/>
      <w:numFmt w:val="lowerRoman"/>
      <w:lvlText w:val="%6."/>
      <w:lvlJc w:val="right"/>
      <w:pPr>
        <w:ind w:left="5945" w:hanging="180"/>
      </w:pPr>
    </w:lvl>
    <w:lvl w:ilvl="6" w:tentative="0">
      <w:start w:val="1"/>
      <w:numFmt w:val="decimal"/>
      <w:lvlText w:val="%7."/>
      <w:lvlJc w:val="left"/>
      <w:pPr>
        <w:ind w:left="6665" w:hanging="360"/>
      </w:pPr>
    </w:lvl>
    <w:lvl w:ilvl="7" w:tentative="0">
      <w:start w:val="1"/>
      <w:numFmt w:val="lowerLetter"/>
      <w:lvlText w:val="%8."/>
      <w:lvlJc w:val="left"/>
      <w:pPr>
        <w:ind w:left="7385" w:hanging="360"/>
      </w:pPr>
    </w:lvl>
    <w:lvl w:ilvl="8" w:tentative="0">
      <w:start w:val="1"/>
      <w:numFmt w:val="lowerRoman"/>
      <w:lvlText w:val="%9."/>
      <w:lvlJc w:val="right"/>
      <w:pPr>
        <w:ind w:left="8105" w:hanging="180"/>
      </w:pPr>
    </w:lvl>
  </w:abstractNum>
  <w:abstractNum w:abstractNumId="36">
    <w:nsid w:val="66267E4B"/>
    <w:multiLevelType w:val="multilevel"/>
    <w:tmpl w:val="66267E4B"/>
    <w:lvl w:ilvl="0" w:tentative="0">
      <w:start w:val="1"/>
      <w:numFmt w:val="decimal"/>
      <w:lvlText w:val="%1."/>
      <w:lvlJc w:val="left"/>
      <w:pPr>
        <w:ind w:left="1778" w:hanging="360"/>
      </w:pPr>
      <w:rPr>
        <w:rFonts w:hint="default"/>
        <w:b/>
      </w:rPr>
    </w:lvl>
    <w:lvl w:ilvl="1" w:tentative="0">
      <w:start w:val="1"/>
      <w:numFmt w:val="decimal"/>
      <w:isLgl/>
      <w:lvlText w:val="%1.%2."/>
      <w:lvlJc w:val="left"/>
      <w:pPr>
        <w:ind w:left="2138" w:hanging="720"/>
      </w:pPr>
      <w:rPr>
        <w:rFonts w:hint="default"/>
      </w:rPr>
    </w:lvl>
    <w:lvl w:ilvl="2" w:tentative="0">
      <w:start w:val="1"/>
      <w:numFmt w:val="decimal"/>
      <w:isLgl/>
      <w:lvlText w:val="%1.%2.%3."/>
      <w:lvlJc w:val="left"/>
      <w:pPr>
        <w:ind w:left="2138" w:hanging="720"/>
      </w:pPr>
      <w:rPr>
        <w:rFonts w:hint="default"/>
      </w:rPr>
    </w:lvl>
    <w:lvl w:ilvl="3" w:tentative="0">
      <w:start w:val="1"/>
      <w:numFmt w:val="decimal"/>
      <w:isLgl/>
      <w:lvlText w:val="%1.%2.%3.%4."/>
      <w:lvlJc w:val="left"/>
      <w:pPr>
        <w:ind w:left="2498" w:hanging="1080"/>
      </w:pPr>
      <w:rPr>
        <w:rFonts w:hint="default"/>
      </w:rPr>
    </w:lvl>
    <w:lvl w:ilvl="4" w:tentative="0">
      <w:start w:val="1"/>
      <w:numFmt w:val="decimal"/>
      <w:isLgl/>
      <w:lvlText w:val="%1.%2.%3.%4.%5."/>
      <w:lvlJc w:val="left"/>
      <w:pPr>
        <w:ind w:left="2858" w:hanging="1440"/>
      </w:pPr>
      <w:rPr>
        <w:rFonts w:hint="default"/>
      </w:rPr>
    </w:lvl>
    <w:lvl w:ilvl="5" w:tentative="0">
      <w:start w:val="1"/>
      <w:numFmt w:val="decimal"/>
      <w:isLgl/>
      <w:lvlText w:val="%1.%2.%3.%4.%5.%6."/>
      <w:lvlJc w:val="left"/>
      <w:pPr>
        <w:ind w:left="2858" w:hanging="1440"/>
      </w:pPr>
      <w:rPr>
        <w:rFonts w:hint="default"/>
      </w:rPr>
    </w:lvl>
    <w:lvl w:ilvl="6" w:tentative="0">
      <w:start w:val="1"/>
      <w:numFmt w:val="decimal"/>
      <w:isLgl/>
      <w:lvlText w:val="%1.%2.%3.%4.%5.%6.%7."/>
      <w:lvlJc w:val="left"/>
      <w:pPr>
        <w:ind w:left="3218" w:hanging="1800"/>
      </w:pPr>
      <w:rPr>
        <w:rFonts w:hint="default"/>
      </w:rPr>
    </w:lvl>
    <w:lvl w:ilvl="7" w:tentative="0">
      <w:start w:val="1"/>
      <w:numFmt w:val="decimal"/>
      <w:isLgl/>
      <w:lvlText w:val="%1.%2.%3.%4.%5.%6.%7.%8."/>
      <w:lvlJc w:val="left"/>
      <w:pPr>
        <w:ind w:left="3578" w:hanging="2160"/>
      </w:pPr>
      <w:rPr>
        <w:rFonts w:hint="default"/>
      </w:rPr>
    </w:lvl>
    <w:lvl w:ilvl="8" w:tentative="0">
      <w:start w:val="1"/>
      <w:numFmt w:val="decimal"/>
      <w:isLgl/>
      <w:lvlText w:val="%1.%2.%3.%4.%5.%6.%7.%8.%9."/>
      <w:lvlJc w:val="left"/>
      <w:pPr>
        <w:ind w:left="3578" w:hanging="2160"/>
      </w:pPr>
      <w:rPr>
        <w:rFonts w:hint="default"/>
      </w:rPr>
    </w:lvl>
  </w:abstractNum>
  <w:abstractNum w:abstractNumId="37">
    <w:nsid w:val="67917B2D"/>
    <w:multiLevelType w:val="multilevel"/>
    <w:tmpl w:val="67917B2D"/>
    <w:lvl w:ilvl="0" w:tentative="0">
      <w:start w:val="1"/>
      <w:numFmt w:val="upperLetter"/>
      <w:lvlText w:val="%1."/>
      <w:lvlJc w:val="left"/>
      <w:pPr>
        <w:ind w:left="720" w:hanging="360"/>
      </w:pPr>
      <w:rPr>
        <w:rFonts w:hint="default"/>
        <w:b/>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8">
    <w:nsid w:val="69082F69"/>
    <w:multiLevelType w:val="multilevel"/>
    <w:tmpl w:val="69082F69"/>
    <w:lvl w:ilvl="0" w:tentative="0">
      <w:start w:val="1"/>
      <w:numFmt w:val="decimal"/>
      <w:lvlText w:val="%1."/>
      <w:lvlJc w:val="left"/>
      <w:pPr>
        <w:ind w:left="861" w:hanging="435"/>
      </w:pPr>
      <w:rPr>
        <w:rFonts w:ascii="Humanst521 Lt BT" w:hAnsi="Humanst521 Lt BT" w:cs="Tahoma" w:eastAsiaTheme="minorHAnsi"/>
      </w:r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39">
    <w:nsid w:val="6C135148"/>
    <w:multiLevelType w:val="multilevel"/>
    <w:tmpl w:val="6C135148"/>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0">
    <w:nsid w:val="6D4F45E5"/>
    <w:multiLevelType w:val="multilevel"/>
    <w:tmpl w:val="6D4F45E5"/>
    <w:lvl w:ilvl="0" w:tentative="0">
      <w:start w:val="1"/>
      <w:numFmt w:val="decimal"/>
      <w:lvlText w:val="%1."/>
      <w:lvlJc w:val="left"/>
      <w:pPr>
        <w:ind w:left="2628" w:hanging="360"/>
      </w:pPr>
      <w:rPr>
        <w:rFonts w:hint="default" w:ascii="Humanst521 Lt BT" w:hAnsi="Humanst521 Lt BT" w:cs="Calibri"/>
        <w:b w:val="0"/>
        <w:color w:val="auto"/>
      </w:rPr>
    </w:lvl>
    <w:lvl w:ilvl="1" w:tentative="0">
      <w:start w:val="1"/>
      <w:numFmt w:val="lowerLetter"/>
      <w:lvlText w:val="%2."/>
      <w:lvlJc w:val="left"/>
      <w:pPr>
        <w:ind w:left="3348" w:hanging="360"/>
      </w:pPr>
    </w:lvl>
    <w:lvl w:ilvl="2" w:tentative="0">
      <w:start w:val="1"/>
      <w:numFmt w:val="lowerRoman"/>
      <w:lvlText w:val="%3."/>
      <w:lvlJc w:val="right"/>
      <w:pPr>
        <w:ind w:left="4068" w:hanging="180"/>
      </w:pPr>
    </w:lvl>
    <w:lvl w:ilvl="3" w:tentative="0">
      <w:start w:val="1"/>
      <w:numFmt w:val="decimal"/>
      <w:lvlText w:val="%4."/>
      <w:lvlJc w:val="left"/>
      <w:pPr>
        <w:ind w:left="4788" w:hanging="360"/>
      </w:pPr>
    </w:lvl>
    <w:lvl w:ilvl="4" w:tentative="0">
      <w:start w:val="1"/>
      <w:numFmt w:val="lowerLetter"/>
      <w:lvlText w:val="%5."/>
      <w:lvlJc w:val="left"/>
      <w:pPr>
        <w:ind w:left="5508" w:hanging="360"/>
      </w:pPr>
    </w:lvl>
    <w:lvl w:ilvl="5" w:tentative="0">
      <w:start w:val="1"/>
      <w:numFmt w:val="lowerRoman"/>
      <w:lvlText w:val="%6."/>
      <w:lvlJc w:val="right"/>
      <w:pPr>
        <w:ind w:left="6228" w:hanging="180"/>
      </w:pPr>
    </w:lvl>
    <w:lvl w:ilvl="6" w:tentative="0">
      <w:start w:val="1"/>
      <w:numFmt w:val="decimal"/>
      <w:lvlText w:val="%7."/>
      <w:lvlJc w:val="left"/>
      <w:pPr>
        <w:ind w:left="6948" w:hanging="360"/>
      </w:pPr>
    </w:lvl>
    <w:lvl w:ilvl="7" w:tentative="0">
      <w:start w:val="1"/>
      <w:numFmt w:val="lowerLetter"/>
      <w:lvlText w:val="%8."/>
      <w:lvlJc w:val="left"/>
      <w:pPr>
        <w:ind w:left="7668" w:hanging="360"/>
      </w:pPr>
    </w:lvl>
    <w:lvl w:ilvl="8" w:tentative="0">
      <w:start w:val="1"/>
      <w:numFmt w:val="lowerRoman"/>
      <w:lvlText w:val="%9."/>
      <w:lvlJc w:val="right"/>
      <w:pPr>
        <w:ind w:left="8388" w:hanging="180"/>
      </w:pPr>
    </w:lvl>
  </w:abstractNum>
  <w:abstractNum w:abstractNumId="41">
    <w:nsid w:val="6FBC3DA2"/>
    <w:multiLevelType w:val="multilevel"/>
    <w:tmpl w:val="6FBC3DA2"/>
    <w:lvl w:ilvl="0" w:tentative="0">
      <w:start w:val="1"/>
      <w:numFmt w:val="decimal"/>
      <w:lvlText w:val="%1."/>
      <w:lvlJc w:val="left"/>
      <w:pPr>
        <w:ind w:left="786" w:hanging="360"/>
      </w:pPr>
      <w:rPr>
        <w:rFonts w:hint="default"/>
      </w:r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42">
    <w:nsid w:val="7298118D"/>
    <w:multiLevelType w:val="multilevel"/>
    <w:tmpl w:val="7298118D"/>
    <w:lvl w:ilvl="0" w:tentative="0">
      <w:start w:val="1"/>
      <w:numFmt w:val="bullet"/>
      <w:lvlText w:val=""/>
      <w:lvlJc w:val="left"/>
      <w:pPr>
        <w:ind w:left="1146" w:hanging="360"/>
      </w:pPr>
      <w:rPr>
        <w:rFonts w:hint="default" w:ascii="Wingdings" w:hAnsi="Wingdings"/>
      </w:rPr>
    </w:lvl>
    <w:lvl w:ilvl="1" w:tentative="0">
      <w:start w:val="1"/>
      <w:numFmt w:val="bullet"/>
      <w:lvlText w:val="o"/>
      <w:lvlJc w:val="left"/>
      <w:pPr>
        <w:ind w:left="1866" w:hanging="360"/>
      </w:pPr>
      <w:rPr>
        <w:rFonts w:hint="default" w:ascii="Courier New" w:hAnsi="Courier New" w:cs="Courier New"/>
      </w:rPr>
    </w:lvl>
    <w:lvl w:ilvl="2" w:tentative="0">
      <w:start w:val="1"/>
      <w:numFmt w:val="bullet"/>
      <w:lvlText w:val=""/>
      <w:lvlJc w:val="left"/>
      <w:pPr>
        <w:ind w:left="2586" w:hanging="360"/>
      </w:pPr>
      <w:rPr>
        <w:rFonts w:hint="default" w:ascii="Wingdings" w:hAnsi="Wingdings"/>
      </w:rPr>
    </w:lvl>
    <w:lvl w:ilvl="3" w:tentative="0">
      <w:start w:val="1"/>
      <w:numFmt w:val="bullet"/>
      <w:lvlText w:val=""/>
      <w:lvlJc w:val="left"/>
      <w:pPr>
        <w:ind w:left="3306" w:hanging="360"/>
      </w:pPr>
      <w:rPr>
        <w:rFonts w:hint="default" w:ascii="Symbol" w:hAnsi="Symbol"/>
      </w:rPr>
    </w:lvl>
    <w:lvl w:ilvl="4" w:tentative="0">
      <w:start w:val="1"/>
      <w:numFmt w:val="bullet"/>
      <w:lvlText w:val="o"/>
      <w:lvlJc w:val="left"/>
      <w:pPr>
        <w:ind w:left="4026" w:hanging="360"/>
      </w:pPr>
      <w:rPr>
        <w:rFonts w:hint="default" w:ascii="Courier New" w:hAnsi="Courier New" w:cs="Courier New"/>
      </w:rPr>
    </w:lvl>
    <w:lvl w:ilvl="5" w:tentative="0">
      <w:start w:val="1"/>
      <w:numFmt w:val="bullet"/>
      <w:lvlText w:val=""/>
      <w:lvlJc w:val="left"/>
      <w:pPr>
        <w:ind w:left="4746" w:hanging="360"/>
      </w:pPr>
      <w:rPr>
        <w:rFonts w:hint="default" w:ascii="Wingdings" w:hAnsi="Wingdings"/>
      </w:rPr>
    </w:lvl>
    <w:lvl w:ilvl="6" w:tentative="0">
      <w:start w:val="1"/>
      <w:numFmt w:val="bullet"/>
      <w:lvlText w:val=""/>
      <w:lvlJc w:val="left"/>
      <w:pPr>
        <w:ind w:left="5466" w:hanging="360"/>
      </w:pPr>
      <w:rPr>
        <w:rFonts w:hint="default" w:ascii="Symbol" w:hAnsi="Symbol"/>
      </w:rPr>
    </w:lvl>
    <w:lvl w:ilvl="7" w:tentative="0">
      <w:start w:val="1"/>
      <w:numFmt w:val="bullet"/>
      <w:lvlText w:val="o"/>
      <w:lvlJc w:val="left"/>
      <w:pPr>
        <w:ind w:left="6186" w:hanging="360"/>
      </w:pPr>
      <w:rPr>
        <w:rFonts w:hint="default" w:ascii="Courier New" w:hAnsi="Courier New" w:cs="Courier New"/>
      </w:rPr>
    </w:lvl>
    <w:lvl w:ilvl="8" w:tentative="0">
      <w:start w:val="1"/>
      <w:numFmt w:val="bullet"/>
      <w:lvlText w:val=""/>
      <w:lvlJc w:val="left"/>
      <w:pPr>
        <w:ind w:left="6906" w:hanging="360"/>
      </w:pPr>
      <w:rPr>
        <w:rFonts w:hint="default" w:ascii="Wingdings" w:hAnsi="Wingdings"/>
      </w:rPr>
    </w:lvl>
  </w:abstractNum>
  <w:abstractNum w:abstractNumId="43">
    <w:nsid w:val="734C6F73"/>
    <w:multiLevelType w:val="multilevel"/>
    <w:tmpl w:val="734C6F73"/>
    <w:lvl w:ilvl="0" w:tentative="0">
      <w:start w:val="1"/>
      <w:numFmt w:val="decimal"/>
      <w:lvlText w:val="%1."/>
      <w:lvlJc w:val="left"/>
      <w:pPr>
        <w:ind w:left="1286" w:hanging="435"/>
      </w:pPr>
      <w:rPr>
        <w:rFonts w:ascii="Humanst521 Lt BT" w:hAnsi="Humanst521 Lt BT" w:cs="Tahoma" w:eastAsiaTheme="minorHAnsi"/>
        <w:b w:val="0"/>
      </w:rPr>
    </w:lvl>
    <w:lvl w:ilvl="1" w:tentative="0">
      <w:start w:val="1"/>
      <w:numFmt w:val="lowerLetter"/>
      <w:lvlText w:val="%2."/>
      <w:lvlJc w:val="left"/>
      <w:pPr>
        <w:ind w:left="1931" w:hanging="360"/>
      </w:pPr>
    </w:lvl>
    <w:lvl w:ilvl="2" w:tentative="0">
      <w:start w:val="1"/>
      <w:numFmt w:val="lowerRoman"/>
      <w:lvlText w:val="%3."/>
      <w:lvlJc w:val="right"/>
      <w:pPr>
        <w:ind w:left="2651" w:hanging="180"/>
      </w:pPr>
    </w:lvl>
    <w:lvl w:ilvl="3" w:tentative="0">
      <w:start w:val="1"/>
      <w:numFmt w:val="decimal"/>
      <w:lvlText w:val="%4."/>
      <w:lvlJc w:val="left"/>
      <w:pPr>
        <w:ind w:left="3371" w:hanging="360"/>
      </w:pPr>
    </w:lvl>
    <w:lvl w:ilvl="4" w:tentative="0">
      <w:start w:val="1"/>
      <w:numFmt w:val="lowerLetter"/>
      <w:lvlText w:val="%5."/>
      <w:lvlJc w:val="left"/>
      <w:pPr>
        <w:ind w:left="4091" w:hanging="360"/>
      </w:pPr>
    </w:lvl>
    <w:lvl w:ilvl="5" w:tentative="0">
      <w:start w:val="1"/>
      <w:numFmt w:val="lowerRoman"/>
      <w:lvlText w:val="%6."/>
      <w:lvlJc w:val="right"/>
      <w:pPr>
        <w:ind w:left="4811" w:hanging="180"/>
      </w:pPr>
    </w:lvl>
    <w:lvl w:ilvl="6" w:tentative="0">
      <w:start w:val="1"/>
      <w:numFmt w:val="decimal"/>
      <w:lvlText w:val="%7."/>
      <w:lvlJc w:val="left"/>
      <w:pPr>
        <w:ind w:left="5531" w:hanging="360"/>
      </w:pPr>
    </w:lvl>
    <w:lvl w:ilvl="7" w:tentative="0">
      <w:start w:val="1"/>
      <w:numFmt w:val="lowerLetter"/>
      <w:lvlText w:val="%8."/>
      <w:lvlJc w:val="left"/>
      <w:pPr>
        <w:ind w:left="6251" w:hanging="360"/>
      </w:pPr>
    </w:lvl>
    <w:lvl w:ilvl="8" w:tentative="0">
      <w:start w:val="1"/>
      <w:numFmt w:val="lowerRoman"/>
      <w:lvlText w:val="%9."/>
      <w:lvlJc w:val="right"/>
      <w:pPr>
        <w:ind w:left="6971" w:hanging="180"/>
      </w:pPr>
    </w:lvl>
  </w:abstractNum>
  <w:abstractNum w:abstractNumId="44">
    <w:nsid w:val="7521356C"/>
    <w:multiLevelType w:val="multilevel"/>
    <w:tmpl w:val="7521356C"/>
    <w:lvl w:ilvl="0" w:tentative="0">
      <w:start w:val="1"/>
      <w:numFmt w:val="lowerLetter"/>
      <w:lvlText w:val="%1."/>
      <w:lvlJc w:val="left"/>
      <w:pPr>
        <w:ind w:left="786" w:hanging="360"/>
      </w:pPr>
      <w:rPr>
        <w:rFonts w:ascii="Futura Bk BT" w:hAnsi="Futura Bk BT" w:eastAsiaTheme="minorHAnsi" w:cstheme="minorBidi"/>
      </w:r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45">
    <w:nsid w:val="77844C7A"/>
    <w:multiLevelType w:val="multilevel"/>
    <w:tmpl w:val="77844C7A"/>
    <w:lvl w:ilvl="0" w:tentative="0">
      <w:start w:val="1"/>
      <w:numFmt w:val="decimal"/>
      <w:lvlText w:val="%1."/>
      <w:lvlJc w:val="left"/>
      <w:pPr>
        <w:ind w:left="1146" w:hanging="360"/>
      </w:pPr>
      <w:rPr>
        <w:rFonts w:hint="default" w:ascii="Humanst521 Lt BT" w:hAnsi="Humanst521 Lt BT" w:cs="Tahoma"/>
      </w:rPr>
    </w:lvl>
    <w:lvl w:ilvl="1" w:tentative="0">
      <w:start w:val="1"/>
      <w:numFmt w:val="lowerLetter"/>
      <w:lvlText w:val="%2."/>
      <w:lvlJc w:val="left"/>
      <w:pPr>
        <w:ind w:left="1866" w:hanging="360"/>
      </w:pPr>
    </w:lvl>
    <w:lvl w:ilvl="2" w:tentative="0">
      <w:start w:val="1"/>
      <w:numFmt w:val="lowerRoman"/>
      <w:lvlText w:val="%3."/>
      <w:lvlJc w:val="right"/>
      <w:pPr>
        <w:ind w:left="2586" w:hanging="180"/>
      </w:pPr>
    </w:lvl>
    <w:lvl w:ilvl="3" w:tentative="0">
      <w:start w:val="1"/>
      <w:numFmt w:val="decimal"/>
      <w:lvlText w:val="%4."/>
      <w:lvlJc w:val="left"/>
      <w:pPr>
        <w:ind w:left="3306" w:hanging="360"/>
      </w:pPr>
    </w:lvl>
    <w:lvl w:ilvl="4" w:tentative="0">
      <w:start w:val="1"/>
      <w:numFmt w:val="lowerLetter"/>
      <w:lvlText w:val="%5."/>
      <w:lvlJc w:val="left"/>
      <w:pPr>
        <w:ind w:left="4026" w:hanging="360"/>
      </w:pPr>
    </w:lvl>
    <w:lvl w:ilvl="5" w:tentative="0">
      <w:start w:val="1"/>
      <w:numFmt w:val="lowerRoman"/>
      <w:lvlText w:val="%6."/>
      <w:lvlJc w:val="right"/>
      <w:pPr>
        <w:ind w:left="4746" w:hanging="180"/>
      </w:pPr>
    </w:lvl>
    <w:lvl w:ilvl="6" w:tentative="0">
      <w:start w:val="1"/>
      <w:numFmt w:val="decimal"/>
      <w:lvlText w:val="%7."/>
      <w:lvlJc w:val="left"/>
      <w:pPr>
        <w:ind w:left="5466" w:hanging="360"/>
      </w:pPr>
    </w:lvl>
    <w:lvl w:ilvl="7" w:tentative="0">
      <w:start w:val="1"/>
      <w:numFmt w:val="lowerLetter"/>
      <w:lvlText w:val="%8."/>
      <w:lvlJc w:val="left"/>
      <w:pPr>
        <w:ind w:left="6186" w:hanging="360"/>
      </w:pPr>
    </w:lvl>
    <w:lvl w:ilvl="8" w:tentative="0">
      <w:start w:val="1"/>
      <w:numFmt w:val="lowerRoman"/>
      <w:lvlText w:val="%9."/>
      <w:lvlJc w:val="right"/>
      <w:pPr>
        <w:ind w:left="6906" w:hanging="180"/>
      </w:pPr>
    </w:lvl>
  </w:abstractNum>
  <w:abstractNum w:abstractNumId="46">
    <w:nsid w:val="791A3076"/>
    <w:multiLevelType w:val="multilevel"/>
    <w:tmpl w:val="791A3076"/>
    <w:lvl w:ilvl="0" w:tentative="0">
      <w:start w:val="1"/>
      <w:numFmt w:val="bullet"/>
      <w:lvlText w:val=""/>
      <w:lvlJc w:val="left"/>
      <w:pPr>
        <w:ind w:left="1146" w:hanging="360"/>
      </w:pPr>
      <w:rPr>
        <w:rFonts w:hint="default" w:ascii="Wingdings" w:hAnsi="Wingdings"/>
      </w:rPr>
    </w:lvl>
    <w:lvl w:ilvl="1" w:tentative="0">
      <w:start w:val="1"/>
      <w:numFmt w:val="bullet"/>
      <w:lvlText w:val="o"/>
      <w:lvlJc w:val="left"/>
      <w:pPr>
        <w:ind w:left="1866" w:hanging="360"/>
      </w:pPr>
      <w:rPr>
        <w:rFonts w:hint="default" w:ascii="Courier New" w:hAnsi="Courier New" w:cs="Courier New"/>
      </w:rPr>
    </w:lvl>
    <w:lvl w:ilvl="2" w:tentative="0">
      <w:start w:val="1"/>
      <w:numFmt w:val="bullet"/>
      <w:lvlText w:val=""/>
      <w:lvlJc w:val="left"/>
      <w:pPr>
        <w:ind w:left="2586" w:hanging="360"/>
      </w:pPr>
      <w:rPr>
        <w:rFonts w:hint="default" w:ascii="Wingdings" w:hAnsi="Wingdings"/>
      </w:rPr>
    </w:lvl>
    <w:lvl w:ilvl="3" w:tentative="0">
      <w:start w:val="1"/>
      <w:numFmt w:val="bullet"/>
      <w:lvlText w:val=""/>
      <w:lvlJc w:val="left"/>
      <w:pPr>
        <w:ind w:left="3306" w:hanging="360"/>
      </w:pPr>
      <w:rPr>
        <w:rFonts w:hint="default" w:ascii="Symbol" w:hAnsi="Symbol"/>
      </w:rPr>
    </w:lvl>
    <w:lvl w:ilvl="4" w:tentative="0">
      <w:start w:val="1"/>
      <w:numFmt w:val="bullet"/>
      <w:lvlText w:val="o"/>
      <w:lvlJc w:val="left"/>
      <w:pPr>
        <w:ind w:left="4026" w:hanging="360"/>
      </w:pPr>
      <w:rPr>
        <w:rFonts w:hint="default" w:ascii="Courier New" w:hAnsi="Courier New" w:cs="Courier New"/>
      </w:rPr>
    </w:lvl>
    <w:lvl w:ilvl="5" w:tentative="0">
      <w:start w:val="1"/>
      <w:numFmt w:val="bullet"/>
      <w:lvlText w:val=""/>
      <w:lvlJc w:val="left"/>
      <w:pPr>
        <w:ind w:left="4746" w:hanging="360"/>
      </w:pPr>
      <w:rPr>
        <w:rFonts w:hint="default" w:ascii="Wingdings" w:hAnsi="Wingdings"/>
      </w:rPr>
    </w:lvl>
    <w:lvl w:ilvl="6" w:tentative="0">
      <w:start w:val="1"/>
      <w:numFmt w:val="bullet"/>
      <w:lvlText w:val=""/>
      <w:lvlJc w:val="left"/>
      <w:pPr>
        <w:ind w:left="5466" w:hanging="360"/>
      </w:pPr>
      <w:rPr>
        <w:rFonts w:hint="default" w:ascii="Symbol" w:hAnsi="Symbol"/>
      </w:rPr>
    </w:lvl>
    <w:lvl w:ilvl="7" w:tentative="0">
      <w:start w:val="1"/>
      <w:numFmt w:val="bullet"/>
      <w:lvlText w:val="o"/>
      <w:lvlJc w:val="left"/>
      <w:pPr>
        <w:ind w:left="6186" w:hanging="360"/>
      </w:pPr>
      <w:rPr>
        <w:rFonts w:hint="default" w:ascii="Courier New" w:hAnsi="Courier New" w:cs="Courier New"/>
      </w:rPr>
    </w:lvl>
    <w:lvl w:ilvl="8" w:tentative="0">
      <w:start w:val="1"/>
      <w:numFmt w:val="bullet"/>
      <w:lvlText w:val=""/>
      <w:lvlJc w:val="left"/>
      <w:pPr>
        <w:ind w:left="6906" w:hanging="360"/>
      </w:pPr>
      <w:rPr>
        <w:rFonts w:hint="default" w:ascii="Wingdings" w:hAnsi="Wingdings"/>
      </w:rPr>
    </w:lvl>
  </w:abstractNum>
  <w:abstractNum w:abstractNumId="47">
    <w:nsid w:val="7DF868D6"/>
    <w:multiLevelType w:val="multilevel"/>
    <w:tmpl w:val="7DF868D6"/>
    <w:lvl w:ilvl="0" w:tentative="0">
      <w:start w:val="1"/>
      <w:numFmt w:val="lowerLetter"/>
      <w:lvlText w:val="%1."/>
      <w:lvlJc w:val="left"/>
      <w:pPr>
        <w:ind w:left="1069" w:hanging="360"/>
      </w:pPr>
      <w:rPr>
        <w:rFonts w:hint="default"/>
      </w:r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48">
    <w:nsid w:val="7F720981"/>
    <w:multiLevelType w:val="multilevel"/>
    <w:tmpl w:val="7F720981"/>
    <w:lvl w:ilvl="0" w:tentative="0">
      <w:start w:val="1"/>
      <w:numFmt w:val="bullet"/>
      <w:lvlText w:val="-"/>
      <w:lvlJc w:val="left"/>
      <w:pPr>
        <w:ind w:left="720" w:hanging="360"/>
      </w:pPr>
      <w:rPr>
        <w:rFonts w:hint="default" w:ascii="Times New Roman" w:hAnsi="Times New Roman" w:eastAsia="Times New Roman" w:cs="Times New Roman"/>
        <w: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37"/>
  </w:num>
  <w:num w:numId="2">
    <w:abstractNumId w:val="2"/>
  </w:num>
  <w:num w:numId="3">
    <w:abstractNumId w:val="28"/>
  </w:num>
  <w:num w:numId="4">
    <w:abstractNumId w:val="45"/>
  </w:num>
  <w:num w:numId="5">
    <w:abstractNumId w:val="44"/>
  </w:num>
  <w:num w:numId="6">
    <w:abstractNumId w:val="35"/>
  </w:num>
  <w:num w:numId="7">
    <w:abstractNumId w:val="47"/>
  </w:num>
  <w:num w:numId="8">
    <w:abstractNumId w:val="22"/>
  </w:num>
  <w:num w:numId="9">
    <w:abstractNumId w:val="18"/>
  </w:num>
  <w:num w:numId="10">
    <w:abstractNumId w:val="0"/>
  </w:num>
  <w:num w:numId="11">
    <w:abstractNumId w:val="1"/>
  </w:num>
  <w:num w:numId="12">
    <w:abstractNumId w:val="34"/>
  </w:num>
  <w:num w:numId="13">
    <w:abstractNumId w:val="8"/>
  </w:num>
  <w:num w:numId="14">
    <w:abstractNumId w:val="26"/>
  </w:num>
  <w:num w:numId="15">
    <w:abstractNumId w:val="41"/>
  </w:num>
  <w:num w:numId="16">
    <w:abstractNumId w:val="14"/>
  </w:num>
  <w:num w:numId="17">
    <w:abstractNumId w:val="42"/>
  </w:num>
  <w:num w:numId="18">
    <w:abstractNumId w:val="27"/>
  </w:num>
  <w:num w:numId="19">
    <w:abstractNumId w:val="16"/>
  </w:num>
  <w:num w:numId="20">
    <w:abstractNumId w:val="23"/>
  </w:num>
  <w:num w:numId="21">
    <w:abstractNumId w:val="6"/>
  </w:num>
  <w:num w:numId="22">
    <w:abstractNumId w:val="29"/>
  </w:num>
  <w:num w:numId="23">
    <w:abstractNumId w:val="5"/>
  </w:num>
  <w:num w:numId="24">
    <w:abstractNumId w:val="38"/>
  </w:num>
  <w:num w:numId="25">
    <w:abstractNumId w:val="10"/>
  </w:num>
  <w:num w:numId="26">
    <w:abstractNumId w:val="11"/>
  </w:num>
  <w:num w:numId="27">
    <w:abstractNumId w:val="9"/>
  </w:num>
  <w:num w:numId="28">
    <w:abstractNumId w:val="46"/>
  </w:num>
  <w:num w:numId="29">
    <w:abstractNumId w:val="43"/>
  </w:num>
  <w:num w:numId="30">
    <w:abstractNumId w:val="20"/>
  </w:num>
  <w:num w:numId="31">
    <w:abstractNumId w:val="7"/>
  </w:num>
  <w:num w:numId="32">
    <w:abstractNumId w:val="13"/>
  </w:num>
  <w:num w:numId="33">
    <w:abstractNumId w:val="31"/>
  </w:num>
  <w:num w:numId="34">
    <w:abstractNumId w:val="3"/>
  </w:num>
  <w:num w:numId="35">
    <w:abstractNumId w:val="30"/>
  </w:num>
  <w:num w:numId="36">
    <w:abstractNumId w:val="4"/>
  </w:num>
  <w:num w:numId="37">
    <w:abstractNumId w:val="25"/>
  </w:num>
  <w:num w:numId="38">
    <w:abstractNumId w:val="48"/>
  </w:num>
  <w:num w:numId="39">
    <w:abstractNumId w:val="32"/>
  </w:num>
  <w:num w:numId="40">
    <w:abstractNumId w:val="39"/>
  </w:num>
  <w:num w:numId="41">
    <w:abstractNumId w:val="33"/>
  </w:num>
  <w:num w:numId="42">
    <w:abstractNumId w:val="19"/>
  </w:num>
  <w:num w:numId="43">
    <w:abstractNumId w:val="36"/>
  </w:num>
  <w:num w:numId="44">
    <w:abstractNumId w:val="40"/>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num>
  <w:num w:numId="47">
    <w:abstractNumId w:val="24"/>
  </w:num>
  <w:num w:numId="48">
    <w:abstractNumId w:val="12"/>
  </w:num>
  <w:num w:numId="49">
    <w:abstractNumId w:val="15"/>
  </w:num>
  <w:num w:numId="5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hideSpellingErrors/>
  <w:documentProtection w:enforcement="0"/>
  <w:defaultTabStop w:val="720"/>
  <w:noPunctuationKerning w:val="1"/>
  <w:characterSpacingControl w:val="doNotCompress"/>
  <w:footnotePr>
    <w:footnote w:id="0"/>
    <w:footnote w:id="1"/>
  </w:footnotePr>
  <w:endnotePr>
    <w:endnote w:id="0"/>
    <w:endnote w:id="1"/>
  </w:endnotePr>
  <w:compat>
    <w:doNotExpandShiftReturn/>
    <w:doNotWrapTextWithPunct/>
    <w:doNotUseEastAsianBreakRules/>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4002"/>
    <w:rsid w:val="00020D09"/>
    <w:rsid w:val="00055971"/>
    <w:rsid w:val="00065054"/>
    <w:rsid w:val="0007412A"/>
    <w:rsid w:val="00074A20"/>
    <w:rsid w:val="00096340"/>
    <w:rsid w:val="000C1008"/>
    <w:rsid w:val="000F4490"/>
    <w:rsid w:val="000F65D6"/>
    <w:rsid w:val="000F6EF1"/>
    <w:rsid w:val="001036CF"/>
    <w:rsid w:val="00112B6D"/>
    <w:rsid w:val="00117DE2"/>
    <w:rsid w:val="0012414B"/>
    <w:rsid w:val="00124AC2"/>
    <w:rsid w:val="0013538B"/>
    <w:rsid w:val="001A665E"/>
    <w:rsid w:val="001B06AE"/>
    <w:rsid w:val="001B7DF0"/>
    <w:rsid w:val="001C31BB"/>
    <w:rsid w:val="001D78B2"/>
    <w:rsid w:val="001F2047"/>
    <w:rsid w:val="001F22D1"/>
    <w:rsid w:val="002127E5"/>
    <w:rsid w:val="002D4A77"/>
    <w:rsid w:val="002E04A0"/>
    <w:rsid w:val="00313409"/>
    <w:rsid w:val="0037652D"/>
    <w:rsid w:val="003A4221"/>
    <w:rsid w:val="003C139E"/>
    <w:rsid w:val="003F4C4C"/>
    <w:rsid w:val="004038FD"/>
    <w:rsid w:val="00421DBB"/>
    <w:rsid w:val="004221AE"/>
    <w:rsid w:val="004621E9"/>
    <w:rsid w:val="00473B18"/>
    <w:rsid w:val="004D0D6A"/>
    <w:rsid w:val="004D54DD"/>
    <w:rsid w:val="00527A68"/>
    <w:rsid w:val="0054548A"/>
    <w:rsid w:val="005711E5"/>
    <w:rsid w:val="005A31E6"/>
    <w:rsid w:val="005B6D19"/>
    <w:rsid w:val="005F70D9"/>
    <w:rsid w:val="006132D3"/>
    <w:rsid w:val="006A773B"/>
    <w:rsid w:val="006E09F5"/>
    <w:rsid w:val="00722DFB"/>
    <w:rsid w:val="007327F0"/>
    <w:rsid w:val="00770777"/>
    <w:rsid w:val="007832BB"/>
    <w:rsid w:val="007A00E7"/>
    <w:rsid w:val="007B1737"/>
    <w:rsid w:val="007B5555"/>
    <w:rsid w:val="007B6BF0"/>
    <w:rsid w:val="007F38EE"/>
    <w:rsid w:val="008042C0"/>
    <w:rsid w:val="00804338"/>
    <w:rsid w:val="00812706"/>
    <w:rsid w:val="00874AD3"/>
    <w:rsid w:val="00887800"/>
    <w:rsid w:val="008D247C"/>
    <w:rsid w:val="009033E5"/>
    <w:rsid w:val="009121DA"/>
    <w:rsid w:val="00926235"/>
    <w:rsid w:val="00930E49"/>
    <w:rsid w:val="00946E38"/>
    <w:rsid w:val="00964002"/>
    <w:rsid w:val="00993044"/>
    <w:rsid w:val="0099316A"/>
    <w:rsid w:val="009A3162"/>
    <w:rsid w:val="009A5728"/>
    <w:rsid w:val="009B4C6B"/>
    <w:rsid w:val="009C1700"/>
    <w:rsid w:val="009D42BD"/>
    <w:rsid w:val="009E6D89"/>
    <w:rsid w:val="00A04E30"/>
    <w:rsid w:val="00A753F4"/>
    <w:rsid w:val="00A86F03"/>
    <w:rsid w:val="00A964EE"/>
    <w:rsid w:val="00AA3E2F"/>
    <w:rsid w:val="00AB45A0"/>
    <w:rsid w:val="00AB62AE"/>
    <w:rsid w:val="00AC4BAC"/>
    <w:rsid w:val="00AD6321"/>
    <w:rsid w:val="00B1438B"/>
    <w:rsid w:val="00B4189D"/>
    <w:rsid w:val="00B51FF0"/>
    <w:rsid w:val="00BA0180"/>
    <w:rsid w:val="00BB4B95"/>
    <w:rsid w:val="00BB50E7"/>
    <w:rsid w:val="00BB5988"/>
    <w:rsid w:val="00BC2482"/>
    <w:rsid w:val="00BD5E29"/>
    <w:rsid w:val="00C15EAD"/>
    <w:rsid w:val="00C63742"/>
    <w:rsid w:val="00C7570E"/>
    <w:rsid w:val="00C81EC1"/>
    <w:rsid w:val="00C834A1"/>
    <w:rsid w:val="00C8372D"/>
    <w:rsid w:val="00CB72D0"/>
    <w:rsid w:val="00D209C1"/>
    <w:rsid w:val="00D26D9A"/>
    <w:rsid w:val="00D30534"/>
    <w:rsid w:val="00D523AA"/>
    <w:rsid w:val="00D54601"/>
    <w:rsid w:val="00DB6148"/>
    <w:rsid w:val="00DC552D"/>
    <w:rsid w:val="00DD6D59"/>
    <w:rsid w:val="00DF4EAA"/>
    <w:rsid w:val="00DF6AB6"/>
    <w:rsid w:val="00E77612"/>
    <w:rsid w:val="00E83CF2"/>
    <w:rsid w:val="00E86BC7"/>
    <w:rsid w:val="00E91285"/>
    <w:rsid w:val="00E926BC"/>
    <w:rsid w:val="00EA3518"/>
    <w:rsid w:val="00EB3355"/>
    <w:rsid w:val="00ED55B6"/>
    <w:rsid w:val="00EE264F"/>
    <w:rsid w:val="00EE5BC4"/>
    <w:rsid w:val="00EF1DED"/>
    <w:rsid w:val="00F16240"/>
    <w:rsid w:val="00F32789"/>
    <w:rsid w:val="00F44BDC"/>
    <w:rsid w:val="00F61286"/>
    <w:rsid w:val="00FB3DD8"/>
    <w:rsid w:val="00FB69CA"/>
    <w:rsid w:val="00FC6D88"/>
    <w:rsid w:val="05A004A7"/>
    <w:rsid w:val="05D84CA5"/>
    <w:rsid w:val="08421B35"/>
    <w:rsid w:val="08B6477D"/>
    <w:rsid w:val="08FA104A"/>
    <w:rsid w:val="0A0209BD"/>
    <w:rsid w:val="0B361B1F"/>
    <w:rsid w:val="0C1341C1"/>
    <w:rsid w:val="0C28716C"/>
    <w:rsid w:val="0DD52D8A"/>
    <w:rsid w:val="10F86567"/>
    <w:rsid w:val="120930B3"/>
    <w:rsid w:val="174775C1"/>
    <w:rsid w:val="186D484B"/>
    <w:rsid w:val="18CF78DB"/>
    <w:rsid w:val="1986206E"/>
    <w:rsid w:val="1E494453"/>
    <w:rsid w:val="1EA43F75"/>
    <w:rsid w:val="2019416E"/>
    <w:rsid w:val="206653F6"/>
    <w:rsid w:val="21CE54CA"/>
    <w:rsid w:val="21F60C2A"/>
    <w:rsid w:val="2434605F"/>
    <w:rsid w:val="245E2FE0"/>
    <w:rsid w:val="2699711B"/>
    <w:rsid w:val="288D1950"/>
    <w:rsid w:val="291C5EA5"/>
    <w:rsid w:val="2A281638"/>
    <w:rsid w:val="2B2F3FFA"/>
    <w:rsid w:val="2C826541"/>
    <w:rsid w:val="2E433299"/>
    <w:rsid w:val="2ECF008F"/>
    <w:rsid w:val="31964414"/>
    <w:rsid w:val="319B5622"/>
    <w:rsid w:val="31B70D83"/>
    <w:rsid w:val="32AB1FD9"/>
    <w:rsid w:val="33615FAA"/>
    <w:rsid w:val="34647D06"/>
    <w:rsid w:val="35A52904"/>
    <w:rsid w:val="366070CB"/>
    <w:rsid w:val="375539B4"/>
    <w:rsid w:val="3AB43C12"/>
    <w:rsid w:val="3B7B3E32"/>
    <w:rsid w:val="3DEC7891"/>
    <w:rsid w:val="3F8912F9"/>
    <w:rsid w:val="3FB86EA2"/>
    <w:rsid w:val="41BA5F01"/>
    <w:rsid w:val="42C53A9C"/>
    <w:rsid w:val="431A6EF6"/>
    <w:rsid w:val="433C28E3"/>
    <w:rsid w:val="452C63A7"/>
    <w:rsid w:val="458B0897"/>
    <w:rsid w:val="470D0B0E"/>
    <w:rsid w:val="496B1043"/>
    <w:rsid w:val="49B065FA"/>
    <w:rsid w:val="49EC47D8"/>
    <w:rsid w:val="4A785A95"/>
    <w:rsid w:val="4B335490"/>
    <w:rsid w:val="4CEB5045"/>
    <w:rsid w:val="4DAC647D"/>
    <w:rsid w:val="501B3C78"/>
    <w:rsid w:val="50690DB4"/>
    <w:rsid w:val="50DD2A80"/>
    <w:rsid w:val="522C0C8D"/>
    <w:rsid w:val="540E1004"/>
    <w:rsid w:val="54AE5B92"/>
    <w:rsid w:val="54C175DF"/>
    <w:rsid w:val="567E34D4"/>
    <w:rsid w:val="576A594E"/>
    <w:rsid w:val="5AD86C9A"/>
    <w:rsid w:val="5CBC3AE1"/>
    <w:rsid w:val="5E231A48"/>
    <w:rsid w:val="5EA73B72"/>
    <w:rsid w:val="5EB97CC7"/>
    <w:rsid w:val="5F6D7384"/>
    <w:rsid w:val="60316037"/>
    <w:rsid w:val="61FE0861"/>
    <w:rsid w:val="63AB1F87"/>
    <w:rsid w:val="65145083"/>
    <w:rsid w:val="66B166A4"/>
    <w:rsid w:val="68C668D6"/>
    <w:rsid w:val="6A746008"/>
    <w:rsid w:val="6A7B0E31"/>
    <w:rsid w:val="6BB9546F"/>
    <w:rsid w:val="6C706D77"/>
    <w:rsid w:val="6ECC140D"/>
    <w:rsid w:val="6F1737D2"/>
    <w:rsid w:val="745F0A4B"/>
    <w:rsid w:val="74C46825"/>
    <w:rsid w:val="755B24D2"/>
    <w:rsid w:val="7658088A"/>
    <w:rsid w:val="77230004"/>
    <w:rsid w:val="79D47F20"/>
    <w:rsid w:val="7E4A0D41"/>
    <w:rsid w:val="7E851CE7"/>
    <w:rsid w:val="7FBE32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4"/>
    <w:semiHidden/>
    <w:unhideWhenUsed/>
    <w:qFormat/>
    <w:uiPriority w:val="99"/>
    <w:pPr>
      <w:spacing w:after="0" w:line="240" w:lineRule="auto"/>
    </w:pPr>
    <w:rPr>
      <w:rFonts w:ascii="Tahoma" w:hAnsi="Tahoma" w:cs="Tahoma"/>
      <w:sz w:val="16"/>
      <w:szCs w:val="16"/>
    </w:rPr>
  </w:style>
  <w:style w:type="paragraph" w:styleId="5">
    <w:name w:val="Body Text Indent 2"/>
    <w:basedOn w:val="1"/>
    <w:link w:val="15"/>
    <w:semiHidden/>
    <w:qFormat/>
    <w:uiPriority w:val="0"/>
    <w:pPr>
      <w:spacing w:after="0" w:line="480" w:lineRule="auto"/>
      <w:ind w:left="360"/>
      <w:jc w:val="both"/>
    </w:pPr>
    <w:rPr>
      <w:rFonts w:ascii="Times New Roman" w:hAnsi="Times New Roman" w:eastAsia="Times New Roman" w:cs="Times New Roman"/>
      <w:sz w:val="24"/>
      <w:szCs w:val="20"/>
    </w:rPr>
  </w:style>
  <w:style w:type="paragraph" w:styleId="6">
    <w:name w:val="footer"/>
    <w:basedOn w:val="1"/>
    <w:link w:val="12"/>
    <w:unhideWhenUsed/>
    <w:qFormat/>
    <w:uiPriority w:val="99"/>
    <w:pPr>
      <w:tabs>
        <w:tab w:val="center" w:pos="4680"/>
        <w:tab w:val="right" w:pos="9360"/>
      </w:tabs>
      <w:spacing w:after="0" w:line="240" w:lineRule="auto"/>
    </w:pPr>
  </w:style>
  <w:style w:type="paragraph" w:styleId="7">
    <w:name w:val="header"/>
    <w:basedOn w:val="1"/>
    <w:link w:val="11"/>
    <w:unhideWhenUsed/>
    <w:qFormat/>
    <w:uiPriority w:val="99"/>
    <w:pPr>
      <w:tabs>
        <w:tab w:val="center" w:pos="4680"/>
        <w:tab w:val="right" w:pos="9360"/>
      </w:tabs>
      <w:spacing w:after="0" w:line="240" w:lineRule="auto"/>
    </w:pPr>
  </w:style>
  <w:style w:type="paragraph" w:styleId="8">
    <w:name w:val="Normal (Web)"/>
    <w:basedOn w:val="1"/>
    <w:unhideWhenUsed/>
    <w:qFormat/>
    <w:uiPriority w:val="99"/>
    <w:pPr>
      <w:spacing w:before="100" w:beforeAutospacing="1" w:after="100" w:afterAutospacing="1" w:line="240" w:lineRule="auto"/>
    </w:pPr>
    <w:rPr>
      <w:rFonts w:ascii="Times New Roman" w:hAnsi="Times New Roman" w:eastAsia="Times New Roman" w:cs="Times New Roman"/>
      <w:sz w:val="24"/>
      <w:szCs w:val="24"/>
    </w:rPr>
  </w:style>
  <w:style w:type="character" w:styleId="9">
    <w:name w:val="page number"/>
    <w:basedOn w:val="2"/>
    <w:qFormat/>
    <w:uiPriority w:val="0"/>
  </w:style>
  <w:style w:type="table" w:styleId="10">
    <w:name w:val="Table Grid"/>
    <w:basedOn w:val="3"/>
    <w:qFormat/>
    <w:uiPriority w:val="59"/>
    <w:rPr>
      <w:rFonts w:eastAsia="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customStyle="1" w:styleId="11">
    <w:name w:val="Header Char"/>
    <w:basedOn w:val="2"/>
    <w:link w:val="7"/>
    <w:qFormat/>
    <w:uiPriority w:val="99"/>
  </w:style>
  <w:style w:type="character" w:customStyle="1" w:styleId="12">
    <w:name w:val="Footer Char"/>
    <w:basedOn w:val="2"/>
    <w:link w:val="6"/>
    <w:qFormat/>
    <w:uiPriority w:val="99"/>
  </w:style>
  <w:style w:type="paragraph" w:styleId="13">
    <w:name w:val="List Paragraph"/>
    <w:basedOn w:val="1"/>
    <w:link w:val="16"/>
    <w:qFormat/>
    <w:uiPriority w:val="34"/>
    <w:pPr>
      <w:ind w:left="720"/>
      <w:contextualSpacing/>
    </w:pPr>
  </w:style>
  <w:style w:type="character" w:customStyle="1" w:styleId="14">
    <w:name w:val="Balloon Text Char"/>
    <w:basedOn w:val="2"/>
    <w:link w:val="4"/>
    <w:semiHidden/>
    <w:qFormat/>
    <w:uiPriority w:val="99"/>
    <w:rPr>
      <w:rFonts w:ascii="Tahoma" w:hAnsi="Tahoma" w:cs="Tahoma"/>
      <w:sz w:val="16"/>
      <w:szCs w:val="16"/>
    </w:rPr>
  </w:style>
  <w:style w:type="character" w:customStyle="1" w:styleId="15">
    <w:name w:val="Body Text Indent 2 Char"/>
    <w:basedOn w:val="2"/>
    <w:link w:val="5"/>
    <w:semiHidden/>
    <w:qFormat/>
    <w:uiPriority w:val="0"/>
    <w:rPr>
      <w:rFonts w:ascii="Times New Roman" w:hAnsi="Times New Roman" w:eastAsia="Times New Roman" w:cs="Times New Roman"/>
      <w:sz w:val="24"/>
      <w:szCs w:val="20"/>
    </w:rPr>
  </w:style>
  <w:style w:type="character" w:customStyle="1" w:styleId="16">
    <w:name w:val="List Paragraph Char"/>
    <w:link w:val="13"/>
    <w:qFormat/>
    <w:locked/>
    <w:uiPriority w:val="34"/>
  </w:style>
  <w:style w:type="table" w:customStyle="1" w:styleId="17">
    <w:name w:val="Grid Table 4 - Accent 61"/>
    <w:basedOn w:val="3"/>
    <w:qFormat/>
    <w:uiPriority w:val="49"/>
    <w:rPr>
      <w:rFonts w:eastAsia="Times New Roman"/>
    </w:rPr>
    <w:tblPr>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Pr>
    <w:tblStylePr w:type="firstRow">
      <w:rPr>
        <w:b/>
        <w:bCs/>
        <w:color w:val="FFFFFF" w:themeColor="background1"/>
        <w14:textFill>
          <w14:solidFill>
            <w14:schemeClr w14:val="bg1"/>
          </w14:solidFill>
        </w14:textFill>
      </w:rPr>
      <w:tcPr>
        <w:tcBorders>
          <w:top w:val="single" w:color="F79646" w:themeColor="accent6" w:sz="4" w:space="0"/>
          <w:left w:val="single" w:color="F79646" w:themeColor="accent6" w:sz="4" w:space="0"/>
          <w:bottom w:val="single" w:color="F79646" w:themeColor="accent6" w:sz="4" w:space="0"/>
          <w:right w:val="single" w:color="F79646" w:themeColor="accent6" w:sz="4" w:space="0"/>
          <w:insideH w:val="nil"/>
          <w:insideV w:val="nil"/>
        </w:tcBorders>
        <w:shd w:val="clear" w:color="auto" w:fill="F79646" w:themeFill="accent6"/>
      </w:tcPr>
    </w:tblStylePr>
    <w:tblStylePr w:type="lastRow">
      <w:rPr>
        <w:b/>
        <w:bCs/>
      </w:rPr>
      <w:tcPr>
        <w:tcBorders>
          <w:top w:val="double" w:color="F79646" w:themeColor="accent6" w:sz="4" w:space="0"/>
        </w:tcBorders>
      </w:tcPr>
    </w:tblStylePr>
    <w:tblStylePr w:type="firstCol">
      <w:rPr>
        <w:b/>
        <w:bCs/>
      </w:rPr>
    </w:tblStylePr>
    <w:tblStylePr w:type="lastCol">
      <w:rPr>
        <w:b/>
        <w:bCs/>
      </w:rPr>
    </w:tblStylePr>
    <w:tblStylePr w:type="band1Vert">
      <w:tcPr>
        <w:shd w:val="clear" w:color="auto" w:fill="FDE9D9" w:themeFill="accent6" w:themeFillTint="33"/>
      </w:tcPr>
    </w:tblStylePr>
    <w:tblStylePr w:type="band1Horz">
      <w:tcPr>
        <w:shd w:val="clear" w:color="auto" w:fill="FDE9D9" w:themeFill="accent6" w:themeFillTint="33"/>
      </w:tcPr>
    </w:tblStylePr>
  </w:style>
  <w:style w:type="table" w:customStyle="1" w:styleId="18">
    <w:name w:val="Grid Table 5 Dark - Accent 21"/>
    <w:basedOn w:val="3"/>
    <w:qFormat/>
    <w:uiPriority w:val="50"/>
    <w:rPr>
      <w:rFonts w:eastAsia="Times New Roman"/>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2DBDB"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C0504D"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C0504D"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C0504D"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C0504D" w:themeFill="accent2"/>
      </w:tcPr>
    </w:tblStylePr>
    <w:tblStylePr w:type="band1Vert">
      <w:tcPr>
        <w:shd w:val="clear" w:color="auto" w:fill="E5B8B7" w:themeFill="accent2" w:themeFillTint="66"/>
      </w:tcPr>
    </w:tblStylePr>
    <w:tblStylePr w:type="band1Horz">
      <w:tcPr>
        <w:shd w:val="clear" w:color="auto" w:fill="E5B8B7" w:themeFill="accent2" w:themeFillTint="66"/>
      </w:tcPr>
    </w:tblStylePr>
  </w:style>
  <w:style w:type="paragraph" w:customStyle="1" w:styleId="19">
    <w:name w:val="Default"/>
    <w:qFormat/>
    <w:uiPriority w:val="0"/>
    <w:pPr>
      <w:autoSpaceDE w:val="0"/>
      <w:autoSpaceDN w:val="0"/>
      <w:adjustRightInd w:val="0"/>
    </w:pPr>
    <w:rPr>
      <w:rFonts w:ascii="Times New Roman" w:hAnsi="Times New Roman" w:eastAsia="Times New Roman" w:cs="Times New Roman"/>
      <w:color w:val="000000"/>
      <w:sz w:val="24"/>
      <w:szCs w:val="24"/>
      <w:lang w:val="en-US" w:eastAsia="id-ID" w:bidi="ar-SA"/>
    </w:rPr>
  </w:style>
  <w:style w:type="table" w:customStyle="1" w:styleId="20">
    <w:name w:val="Grid Table 5 Dark - Accent 31"/>
    <w:basedOn w:val="3"/>
    <w:qFormat/>
    <w:uiPriority w:val="50"/>
    <w:rPr>
      <w:rFonts w:eastAsia="Times New Roman"/>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AF1DD" w:themeFill="accent3"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9BBB59" w:themeFill="accent3"/>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9BBB59" w:themeFill="accent3"/>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9BBB59" w:themeFill="accent3"/>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9BBB59" w:themeFill="accent3"/>
      </w:tcPr>
    </w:tblStylePr>
    <w:tblStylePr w:type="band1Vert">
      <w:tcPr>
        <w:shd w:val="clear" w:color="auto" w:fill="D6E3BC" w:themeFill="accent3" w:themeFillTint="66"/>
      </w:tcPr>
    </w:tblStylePr>
    <w:tblStylePr w:type="band1Horz">
      <w:tcPr>
        <w:shd w:val="clear" w:color="auto" w:fill="D6E3BC" w:themeFill="accent3" w:themeFillTint="66"/>
      </w:tcPr>
    </w:tblStylePr>
  </w:style>
  <w:style w:type="table" w:customStyle="1" w:styleId="21">
    <w:name w:val="Grid Table 1 Light - Accent 61"/>
    <w:basedOn w:val="3"/>
    <w:qFormat/>
    <w:uiPriority w:val="46"/>
    <w:rPr>
      <w:rFonts w:eastAsia="Times New Roman"/>
    </w:rPr>
    <w:tblPr>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Pr>
    <w:tblStylePr w:type="firstRow">
      <w:rPr>
        <w:b/>
        <w:bCs/>
      </w:rPr>
      <w:tcPr>
        <w:tcBorders>
          <w:bottom w:val="single" w:color="FABF8F" w:themeColor="accent6" w:themeTint="99" w:sz="12" w:space="0"/>
        </w:tcBorders>
      </w:tcPr>
    </w:tblStylePr>
    <w:tblStylePr w:type="lastRow">
      <w:rPr>
        <w:b/>
        <w:bCs/>
      </w:rPr>
      <w:tcPr>
        <w:tcBorders>
          <w:top w:val="double" w:color="FABF8F" w:themeColor="accent6" w:themeTint="99" w:sz="2" w:space="0"/>
        </w:tcBorders>
      </w:tcPr>
    </w:tblStylePr>
    <w:tblStylePr w:type="firstCol">
      <w:rPr>
        <w:b/>
        <w:bCs/>
      </w:rPr>
    </w:tblStylePr>
    <w:tblStylePr w:type="lastCol">
      <w:rPr>
        <w:b/>
        <w:bCs/>
      </w:r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chart" Target="charts/chart1.xml"/><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pn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NULL"/><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4" Type="http://schemas.openxmlformats.org/officeDocument/2006/relationships/image" Target="media/image4.png"/><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numbering.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image" Target="media/image20.png"/><Relationship Id="rId1" Type="http://schemas.openxmlformats.org/officeDocument/2006/relationships/image" Target="media/image19.png"/></Relationships>
</file>

<file path=word/charts/_rels/chart1.xml.rels><?xml version="1.0" encoding="UTF-8" standalone="yes"?>
<Relationships xmlns="http://schemas.openxmlformats.org/package/2006/relationships"><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879341644794401"/>
          <c:y val="0.170535870516185"/>
          <c:w val="0.594907407407407"/>
          <c:h val="0.789781589801275"/>
        </c:manualLayout>
      </c:layout>
      <c:barChart>
        <c:barDir val="bar"/>
        <c:grouping val="clustered"/>
        <c:varyColors val="0"/>
        <c:ser>
          <c:idx val="0"/>
          <c:order val="0"/>
          <c:tx>
            <c:strRef>
              <c:f>Sheet1!$B$1</c:f>
              <c:strCache>
                <c:ptCount val="1"/>
                <c:pt idx="0">
                  <c:v>Hasil Evaluasi Pengukuran Kinerja</c:v>
                </c:pt>
              </c:strCache>
            </c:strRef>
          </c:tx>
          <c:spPr>
            <a:solidFill>
              <a:schemeClr val="accent6"/>
            </a:solidFill>
            <a:ln>
              <a:noFill/>
            </a:ln>
            <a:effectLst>
              <a:outerShdw blurRad="254000" sx="102000" sy="102000" algn="ctr" rotWithShape="0">
                <a:prstClr val="black">
                  <a:alpha val="20000"/>
                </a:prstClr>
              </a:outerShdw>
            </a:effectLst>
          </c:spPr>
          <c:invertIfNegative val="0"/>
          <c:dLbls>
            <c:dLbl>
              <c:idx val="0"/>
              <c:layout>
                <c:manualLayout>
                  <c:x val="-0.082801290463692"/>
                  <c:y val="-0.0047494063242094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162509448223734"/>
                  <c:y val="0"/>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211640211640212"/>
                  <c:y val="0"/>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147392290249433"/>
                  <c:y val="0.00323974082073434"/>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166288737717309"/>
                  <c:y val="0.00647948164146868"/>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102040816326531"/>
                  <c:y val="0.00323974082073434"/>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50000"/>
                          <a:lumOff val="50000"/>
                        </a:schemeClr>
                      </a:solidFill>
                      <a:prstDash val="solid"/>
                      <a:round/>
                    </a:ln>
                    <a:effectLst/>
                  </c:spPr>
                </c15:leaderLines>
              </c:ext>
            </c:extLst>
          </c:dLbls>
          <c:cat>
            <c:strRef>
              <c:f>Sheet1!$A$2:$A$10</c:f>
              <c:strCache>
                <c:ptCount val="9"/>
                <c:pt idx="0">
                  <c:v>Pertumbuhan Industri </c:v>
                </c:pt>
                <c:pt idx="1">
                  <c:v>unit usaha industri unggulan daerah</c:v>
                </c:pt>
                <c:pt idx="2">
                  <c:v>Pasar rakyat dalam kondisi baik </c:v>
                </c:pt>
                <c:pt idx="3">
                  <c:v>Rekomnedasi izin usaha yang diterbitkan</c:v>
                </c:pt>
                <c:pt idx="4">
                  <c:v>Persentasi UTTP yang bertanda tera SAH</c:v>
                </c:pt>
                <c:pt idx="5">
                  <c:v>Koperasi Aktif</c:v>
                </c:pt>
                <c:pt idx="6">
                  <c:v>Koperasi Sehat</c:v>
                </c:pt>
                <c:pt idx="7">
                  <c:v>UMKM yang Produktif </c:v>
                </c:pt>
                <c:pt idx="8">
                  <c:v>Sentra UKM Potensial </c:v>
                </c:pt>
              </c:strCache>
            </c:strRef>
          </c:cat>
          <c:val>
            <c:numRef>
              <c:f>Sheet1!$B$2:$B$10</c:f>
              <c:numCache>
                <c:formatCode>0%</c:formatCode>
                <c:ptCount val="9"/>
                <c:pt idx="0">
                  <c:v>1</c:v>
                </c:pt>
                <c:pt idx="1">
                  <c:v>1</c:v>
                </c:pt>
                <c:pt idx="2">
                  <c:v>0.1</c:v>
                </c:pt>
                <c:pt idx="3">
                  <c:v>1.232</c:v>
                </c:pt>
                <c:pt idx="4">
                  <c:v>0</c:v>
                </c:pt>
                <c:pt idx="5">
                  <c:v>0.9927</c:v>
                </c:pt>
                <c:pt idx="6">
                  <c:v>0.1866</c:v>
                </c:pt>
                <c:pt idx="7">
                  <c:v>1</c:v>
                </c:pt>
                <c:pt idx="8">
                  <c:v>0.6666</c:v>
                </c:pt>
              </c:numCache>
            </c:numRef>
          </c:val>
        </c:ser>
        <c:dLbls>
          <c:showLegendKey val="0"/>
          <c:showVal val="0"/>
          <c:showCatName val="0"/>
          <c:showSerName val="0"/>
          <c:showPercent val="0"/>
          <c:showBubbleSize val="0"/>
        </c:dLbls>
        <c:gapWidth val="100"/>
        <c:axId val="191587840"/>
        <c:axId val="191586304"/>
      </c:barChart>
      <c:catAx>
        <c:axId val="191587840"/>
        <c:scaling>
          <c:orientation val="minMax"/>
        </c:scaling>
        <c:delete val="0"/>
        <c:axPos val="l"/>
        <c:numFmt formatCode="General" sourceLinked="1"/>
        <c:majorTickMark val="out"/>
        <c:minorTickMark val="none"/>
        <c:tickLblPos val="nextTo"/>
        <c:spPr>
          <a:noFill/>
          <a:ln w="19050" cap="flat" cmpd="sng" algn="ctr">
            <a:solidFill>
              <a:schemeClr val="dk1">
                <a:lumMod val="75000"/>
                <a:lumOff val="25000"/>
              </a:schemeClr>
            </a:solidFill>
            <a:prstDash val="solid"/>
            <a:round/>
          </a:ln>
          <a:effectLst/>
        </c:spPr>
        <c:txPr>
          <a:bodyPr rot="-60000000" spcFirstLastPara="1" vertOverflow="ellipsis" vert="horz" wrap="square" anchor="ctr" anchorCtr="1"/>
          <a:lstStyle/>
          <a:p>
            <a:pPr>
              <a:defRPr lang="en-US" sz="900" b="0" i="0" u="none" strike="noStrike" kern="1200" cap="none" baseline="0">
                <a:solidFill>
                  <a:schemeClr val="dk1">
                    <a:lumMod val="75000"/>
                    <a:lumOff val="25000"/>
                  </a:schemeClr>
                </a:solidFill>
                <a:latin typeface="+mn-lt"/>
                <a:ea typeface="+mn-ea"/>
                <a:cs typeface="+mn-cs"/>
              </a:defRPr>
            </a:pPr>
          </a:p>
        </c:txPr>
        <c:crossAx val="191586304"/>
        <c:crosses val="autoZero"/>
        <c:auto val="1"/>
        <c:lblAlgn val="ctr"/>
        <c:lblOffset val="100"/>
        <c:noMultiLvlLbl val="0"/>
      </c:catAx>
      <c:valAx>
        <c:axId val="191586304"/>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prstDash val="solid"/>
              <a:round/>
            </a:ln>
            <a:effectLst/>
          </c:spPr>
        </c:majorGridlines>
        <c:numFmt formatCode="0%" sourceLinked="1"/>
        <c:majorTickMark val="out"/>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lang="en-US" sz="900" b="0" i="0" u="none" strike="noStrike" kern="1200" baseline="0">
                <a:solidFill>
                  <a:schemeClr val="dk1">
                    <a:lumMod val="75000"/>
                    <a:lumOff val="25000"/>
                  </a:schemeClr>
                </a:solidFill>
                <a:latin typeface="+mn-lt"/>
                <a:ea typeface="+mn-ea"/>
                <a:cs typeface="+mn-cs"/>
              </a:defRPr>
            </a:pPr>
          </a:p>
        </c:txPr>
        <c:crossAx val="191587840"/>
        <c:crosses val="autoZero"/>
        <c:crossBetween val="between"/>
      </c:valAx>
      <c:spPr>
        <a:noFill/>
        <a:ln>
          <a:noFill/>
        </a:ln>
        <a:effectLst/>
      </c:spPr>
    </c:plotArea>
    <c:legend>
      <c:legendPos val="r"/>
      <c:layout/>
      <c:overlay val="0"/>
      <c:spPr>
        <a:solidFill>
          <a:schemeClr val="lt1">
            <a:lumMod val="95000"/>
            <a:alpha val="39000"/>
          </a:schemeClr>
        </a:solidFill>
        <a:ln>
          <a:noFill/>
        </a:ln>
        <a:effectLst/>
      </c:spPr>
      <c:txPr>
        <a:bodyPr rot="0" spcFirstLastPara="1" vertOverflow="ellipsis" vert="horz" wrap="square" anchor="ctr" anchorCtr="1"/>
        <a:lstStyle/>
        <a:p>
          <a:pPr>
            <a:defRPr lang="en-US" sz="900" b="0" i="0" u="none" strike="noStrike" kern="1200" baseline="0">
              <a:solidFill>
                <a:srgbClr val="0070C0"/>
              </a:solidFill>
              <a:latin typeface="+mn-lt"/>
              <a:ea typeface="+mn-ea"/>
              <a:cs typeface="+mn-cs"/>
            </a:defRPr>
          </a:pP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prstDash val="solid"/>
      <a:round/>
    </a:ln>
    <a:effectLst/>
  </c:spPr>
  <c:txPr>
    <a:bodyPr/>
    <a:lstStyle/>
    <a:p>
      <a:pPr>
        <a:defRPr lang="en-US"/>
      </a:pP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56A6510-8D57-4AFF-9243-5E3BA14B1AAA}">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91</Pages>
  <Words>15286</Words>
  <Characters>87133</Characters>
  <Lines>726</Lines>
  <Paragraphs>204</Paragraphs>
  <TotalTime>50</TotalTime>
  <ScaleCrop>false</ScaleCrop>
  <LinksUpToDate>false</LinksUpToDate>
  <CharactersWithSpaces>102215</CharactersWithSpaces>
  <Application>WPS Office_11.2.0.11440_F1E327BC-269C-435d-A152-05C5408002CA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2022-01-28T09:36:00Z</dcterms:created>
  <dc:creator>LAPORAN AKUNTABILITAS KINERJA INSTANSI PEMERINTAH 2022</dc:creator>
  <cp:lastModifiedBy>HP</cp:lastModifiedBy>
  <cp:lastPrinted>2023-02-09T11:50:06Z</cp:lastPrinted>
  <dcterms:modified xsi:type="dcterms:W3CDTF">2023-02-09T12:33:19Z</dcterms:modified>
  <cp:revision>96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1033-11.2.0.11440</vt:lpwstr>
  </property>
  <property fmtid="{D5CDD505-2E9C-101B-9397-08002B2CF9AE}" pid="3" name="ICV">
    <vt:lpwstr>37C21A92CE8340F783296244F7658D3F</vt:lpwstr>
  </property>
</Properties>
</file>